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Минтруда России от 21.03.2023 N 28-6/10/П-2161</w:t>
              <w:br/>
              <w:t xml:space="preserve">&lt;О направлении Инструктивно-методических материалов&gt;</w:t>
              <w:br/>
              <w:t xml:space="preserve">(вместе с "Инструктивно-методическими материалами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21 марта 2023 г. N 28-6/10/П-2161</w:t>
      </w:r>
    </w:p>
    <w:p>
      <w:pPr>
        <w:pStyle w:val="0"/>
        <w:jc w:val="both"/>
      </w:pPr>
      <w:r>
        <w:rPr>
          <w:sz w:val="20"/>
        </w:rPr>
      </w:r>
    </w:p>
    <w:p>
      <w:pPr>
        <w:pStyle w:val="0"/>
        <w:ind w:firstLine="540"/>
        <w:jc w:val="both"/>
      </w:pPr>
      <w:r>
        <w:rPr>
          <w:sz w:val="20"/>
        </w:rPr>
        <w:t xml:space="preserve">Министерством труда и социальной защиты Российской Федерации в рамках реализации полномочий, предусмотренных </w:t>
      </w:r>
      <w:hyperlink w:history="0" r:id="rId7"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подпунктами "а"</w:t>
        </w:r>
      </w:hyperlink>
      <w:r>
        <w:rPr>
          <w:sz w:val="20"/>
        </w:rPr>
        <w:t xml:space="preserve"> и </w:t>
      </w:r>
      <w:hyperlink w:history="0" r:id="rId8"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"в" пункта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w:history="0" r:id="rId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pPr>
        <w:pStyle w:val="0"/>
        <w:spacing w:before="200" w:line-rule="auto"/>
        <w:ind w:firstLine="540"/>
        <w:jc w:val="both"/>
      </w:pPr>
      <w:r>
        <w:rPr>
          <w:sz w:val="20"/>
        </w:rPr>
        <w:t xml:space="preserve">Просим довести положения инструктивно-методических </w:t>
      </w:r>
      <w:hyperlink w:history="0" w:anchor="P21" w:tooltip="ИНСТРУКТИВНО-МЕТОДИЧЕСКИЕ МАТЕРИАЛЫ">
        <w:r>
          <w:rPr>
            <w:sz w:val="20"/>
            <w:color w:val="0000ff"/>
          </w:rPr>
          <w:t xml:space="preserve">материалов</w:t>
        </w:r>
      </w:hyperlink>
      <w:r>
        <w:rPr>
          <w:sz w:val="20"/>
        </w:rP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pPr>
        <w:pStyle w:val="0"/>
        <w:spacing w:before="200" w:line-rule="auto"/>
        <w:ind w:firstLine="540"/>
        <w:jc w:val="both"/>
      </w:pPr>
      <w:r>
        <w:rPr>
          <w:sz w:val="20"/>
        </w:rPr>
        <w:t xml:space="preserve">Инструктивно-методические </w:t>
      </w:r>
      <w:hyperlink w:history="0" w:anchor="P21" w:tooltip="ИНСТРУКТИВНО-МЕТОДИЧЕСКИЕ МАТЕРИАЛЫ">
        <w:r>
          <w:rPr>
            <w:sz w:val="20"/>
            <w:color w:val="0000ff"/>
          </w:rPr>
          <w:t xml:space="preserve">материалы</w:t>
        </w:r>
      </w:hyperlink>
      <w:r>
        <w:rPr>
          <w:sz w:val="20"/>
        </w:rPr>
        <w:t xml:space="preserve"> доступны по ссылке: https://fexch.mintrud.gov.ru/s/yWdaMqo6CMcmYE7, а также в ближайшее время будут размещены по ссылке: https://mintrud.gov.ru/ministry/programms/anticorruption/9.</w:t>
      </w:r>
    </w:p>
    <w:p>
      <w:pPr>
        <w:pStyle w:val="0"/>
        <w:spacing w:before="200" w:line-rule="auto"/>
        <w:ind w:firstLine="540"/>
        <w:jc w:val="both"/>
      </w:pPr>
      <w:r>
        <w:rPr>
          <w:sz w:val="20"/>
        </w:rPr>
        <w:t xml:space="preserve">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pPr>
        <w:pStyle w:val="0"/>
        <w:spacing w:before="200" w:line-rule="auto"/>
        <w:ind w:firstLine="540"/>
        <w:jc w:val="both"/>
      </w:pPr>
      <w:r>
        <w:rPr>
          <w:sz w:val="20"/>
        </w:rPr>
        <w:t xml:space="preserve">Дополнительно сообщаем, что в связи с выявленными особенностями отдельные положения Методических </w:t>
      </w:r>
      <w:hyperlink w:history="0" r:id="rId10" w:tooltip="&quo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quot; (утв. Минтрудом России) {КонсультантПлюс}">
        <w:r>
          <w:rPr>
            <w:sz w:val="20"/>
            <w:color w:val="0000ff"/>
          </w:rPr>
          <w:t xml:space="preserve">рекомендаций</w:t>
        </w:r>
      </w:hyperlink>
      <w:r>
        <w:rPr>
          <w:sz w:val="2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pPr>
        <w:pStyle w:val="0"/>
        <w:spacing w:before="200" w:line-rule="auto"/>
        <w:ind w:firstLine="540"/>
        <w:jc w:val="both"/>
      </w:pPr>
      <w:r>
        <w:rPr>
          <w:sz w:val="20"/>
        </w:rPr>
        <w:t xml:space="preserve">Актуальная редакция данных Методических материалов и брошюра доступны по ссылке: </w:t>
      </w:r>
      <w:hyperlink w:history="0" r:id="rId11">
        <w:r>
          <w:rPr>
            <w:sz w:val="20"/>
            <w:color w:val="0000ff"/>
          </w:rPr>
          <w:t xml:space="preserve">https://mintrud.gov.ru/ministry/programms/anticorruption/9/5</w:t>
        </w:r>
      </w:hyperlink>
      <w:r>
        <w:rPr>
          <w:sz w:val="20"/>
        </w:rPr>
        <w:t xml:space="preserve">.</w:t>
      </w:r>
    </w:p>
    <w:p>
      <w:pPr>
        <w:pStyle w:val="0"/>
        <w:jc w:val="both"/>
      </w:pPr>
      <w:r>
        <w:rPr>
          <w:sz w:val="20"/>
        </w:rPr>
      </w:r>
    </w:p>
    <w:p>
      <w:pPr>
        <w:pStyle w:val="0"/>
        <w:jc w:val="right"/>
      </w:pPr>
      <w:r>
        <w:rPr>
          <w:sz w:val="20"/>
        </w:rPr>
        <w:t xml:space="preserve">Е.В.МУХТИЯРОВА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bookmarkStart w:id="21" w:name="P21"/>
    <w:bookmarkEnd w:id="21"/>
    <w:p>
      <w:pPr>
        <w:pStyle w:val="2"/>
        <w:jc w:val="center"/>
      </w:pPr>
      <w:r>
        <w:rPr>
          <w:sz w:val="20"/>
        </w:rPr>
        <w:t xml:space="preserve">ИНСТРУКТИВНО-МЕТОДИЧЕСКИЕ МАТЕРИАЛЫ</w:t>
      </w:r>
    </w:p>
    <w:p>
      <w:pPr>
        <w:pStyle w:val="2"/>
        <w:jc w:val="center"/>
      </w:pPr>
      <w:r>
        <w:rPr>
          <w:sz w:val="20"/>
        </w:rPr>
        <w:t xml:space="preserve">ПО ВОПРОСАМ РЕАЛИЗАЦИИ УКАЗА ПРЕЗИДЕНТА РОССИЙСКОЙ ФЕДЕРАЦИИ</w:t>
      </w:r>
    </w:p>
    <w:p>
      <w:pPr>
        <w:pStyle w:val="2"/>
        <w:jc w:val="center"/>
      </w:pPr>
      <w:r>
        <w:rPr>
          <w:sz w:val="20"/>
        </w:rPr>
        <w:t xml:space="preserve">ОТ 29 ДЕКАБРЯ 2022 Г. N 968 "ОБ ОСОБЕННОСТЯХ ИСПОЛНЕНИЯ</w:t>
      </w:r>
    </w:p>
    <w:p>
      <w:pPr>
        <w:pStyle w:val="2"/>
        <w:jc w:val="center"/>
      </w:pPr>
      <w:r>
        <w:rPr>
          <w:sz w:val="20"/>
        </w:rPr>
        <w:t xml:space="preserve">ОБЯЗАННОСТЕЙ, СОБЛЮДЕНИЯ ОГРАНИЧЕНИЙ И ЗАПРЕТОВ В ОБЛАСТИ</w:t>
      </w:r>
    </w:p>
    <w:p>
      <w:pPr>
        <w:pStyle w:val="2"/>
        <w:jc w:val="center"/>
      </w:pPr>
      <w:r>
        <w:rPr>
          <w:sz w:val="20"/>
        </w:rPr>
        <w:t xml:space="preserve">ПРОТИВОДЕЙСТВИЯ КОРРУПЦИИ НЕКОТОРЫМИ КАТЕГОРИЯМИ ГРАЖДАН</w:t>
      </w:r>
    </w:p>
    <w:p>
      <w:pPr>
        <w:pStyle w:val="2"/>
        <w:jc w:val="center"/>
      </w:pPr>
      <w:r>
        <w:rPr>
          <w:sz w:val="20"/>
        </w:rPr>
        <w:t xml:space="preserve">В ПЕРИОД ПРОВЕДЕНИЯ СПЕЦИАЛЬНОЙ ВОЕННОЙ ОПЕРАЦИИ"</w:t>
      </w:r>
    </w:p>
    <w:p>
      <w:pPr>
        <w:pStyle w:val="0"/>
        <w:jc w:val="both"/>
      </w:pPr>
      <w:r>
        <w:rPr>
          <w:sz w:val="20"/>
        </w:rPr>
      </w:r>
    </w:p>
    <w:p>
      <w:pPr>
        <w:pStyle w:val="2"/>
        <w:outlineLvl w:val="1"/>
        <w:jc w:val="center"/>
      </w:pPr>
      <w:r>
        <w:rPr>
          <w:sz w:val="20"/>
        </w:rPr>
        <w:t xml:space="preserve">Сокращения, используемые в настоящих</w:t>
      </w:r>
    </w:p>
    <w:p>
      <w:pPr>
        <w:pStyle w:val="2"/>
        <w:jc w:val="center"/>
      </w:pPr>
      <w:r>
        <w:rPr>
          <w:sz w:val="20"/>
        </w:rPr>
        <w:t xml:space="preserve">инструктивно-методических материалах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tcW w:w="2268" w:type="dxa"/>
          </w:tcPr>
          <w:p>
            <w:pPr>
              <w:pStyle w:val="0"/>
              <w:jc w:val="center"/>
            </w:pPr>
            <w:r>
              <w:rPr>
                <w:sz w:val="20"/>
              </w:rPr>
              <w:t xml:space="preserve">Сокращения</w:t>
            </w:r>
          </w:p>
        </w:tc>
        <w:tc>
          <w:tcPr>
            <w:tcW w:w="6746" w:type="dxa"/>
          </w:tcPr>
          <w:p>
            <w:pPr>
              <w:pStyle w:val="0"/>
              <w:jc w:val="center"/>
            </w:pPr>
            <w:r>
              <w:rPr>
                <w:sz w:val="20"/>
              </w:rPr>
              <w:t xml:space="preserve">Определения</w:t>
            </w:r>
          </w:p>
        </w:tc>
      </w:tr>
      <w:tr>
        <w:tc>
          <w:tcPr>
            <w:tcW w:w="2268" w:type="dxa"/>
          </w:tcPr>
          <w:p>
            <w:pPr>
              <w:pStyle w:val="0"/>
              <w:jc w:val="both"/>
            </w:pPr>
            <w:r>
              <w:rPr>
                <w:sz w:val="20"/>
              </w:rPr>
              <w:t xml:space="preserve">Антикоррупционная структура</w:t>
            </w:r>
          </w:p>
        </w:tc>
        <w:tc>
          <w:tcPr>
            <w:tcW w:w="6746" w:type="dxa"/>
          </w:tcPr>
          <w:p>
            <w:pPr>
              <w:pStyle w:val="0"/>
              <w:jc w:val="both"/>
            </w:pPr>
            <w:r>
              <w:rPr>
                <w:sz w:val="20"/>
              </w:rPr>
              <w:t xml:space="preserve">Управление Президента Российской Федерации по вопросам противодействия коррупции;</w:t>
            </w:r>
          </w:p>
          <w:p>
            <w:pPr>
              <w:pStyle w:val="0"/>
              <w:jc w:val="both"/>
            </w:pPr>
            <w:r>
              <w:rPr>
                <w:sz w:val="20"/>
              </w:rPr>
              <w:t xml:space="preserve">структурное подразделение Аппарата Правительства Российской Федерации;</w:t>
            </w:r>
          </w:p>
          <w:p>
            <w:pPr>
              <w:pStyle w:val="0"/>
              <w:jc w:val="both"/>
            </w:pPr>
            <w:r>
              <w:rPr>
                <w:sz w:val="20"/>
              </w:rPr>
              <w:t xml:space="preserve">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pPr>
              <w:pStyle w:val="0"/>
              <w:jc w:val="both"/>
            </w:pPr>
            <w:r>
              <w:rPr>
                <w:sz w:val="20"/>
              </w:rPr>
              <w:t xml:space="preserve">органы субъектов Российской Федерации по профилактике коррупционных и иных правонарушений</w:t>
            </w:r>
          </w:p>
        </w:tc>
      </w:tr>
      <w:tr>
        <w:tc>
          <w:tcPr>
            <w:tcW w:w="2268" w:type="dxa"/>
          </w:tcPr>
          <w:p>
            <w:pPr>
              <w:pStyle w:val="0"/>
              <w:jc w:val="both"/>
            </w:pPr>
            <w:r>
              <w:rPr>
                <w:sz w:val="20"/>
              </w:rPr>
              <w:t xml:space="preserve">Антикоррупционные стандарты</w:t>
            </w:r>
          </w:p>
        </w:tc>
        <w:tc>
          <w:tcPr>
            <w:tcW w:w="6746" w:type="dxa"/>
          </w:tcPr>
          <w:p>
            <w:pPr>
              <w:pStyle w:val="0"/>
              <w:jc w:val="both"/>
            </w:pPr>
            <w:r>
              <w:rPr>
                <w:sz w:val="20"/>
              </w:rPr>
              <w:t xml:space="preserve">запреты, ограничения и обязанности, установленные в целях противодействия коррупции законодательством Российской Федерации</w:t>
            </w:r>
          </w:p>
        </w:tc>
      </w:tr>
      <w:tr>
        <w:tc>
          <w:tcPr>
            <w:tcW w:w="2268" w:type="dxa"/>
          </w:tcPr>
          <w:p>
            <w:pPr>
              <w:pStyle w:val="0"/>
              <w:jc w:val="both"/>
            </w:pPr>
            <w:r>
              <w:rPr>
                <w:sz w:val="20"/>
              </w:rPr>
              <w:t xml:space="preserve">Добровольцы</w:t>
            </w:r>
          </w:p>
        </w:tc>
        <w:tc>
          <w:tcPr>
            <w:tcW w:w="6746" w:type="dxa"/>
          </w:tcPr>
          <w:p>
            <w:pPr>
              <w:pStyle w:val="0"/>
              <w:jc w:val="both"/>
            </w:pPr>
            <w:r>
              <w:rPr>
                <w:sz w:val="20"/>
              </w:rPr>
              <w:t xml:space="preserve">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tc>
          <w:tcPr>
            <w:tcW w:w="2268" w:type="dxa"/>
          </w:tcPr>
          <w:p>
            <w:pPr>
              <w:pStyle w:val="0"/>
              <w:jc w:val="both"/>
            </w:pPr>
            <w:r>
              <w:rPr>
                <w:sz w:val="20"/>
              </w:rPr>
              <w:t xml:space="preserve">Командированные лица</w:t>
            </w:r>
          </w:p>
        </w:tc>
        <w:tc>
          <w:tcPr>
            <w:tcW w:w="6746" w:type="dxa"/>
          </w:tcPr>
          <w:p>
            <w:pPr>
              <w:pStyle w:val="0"/>
              <w:jc w:val="both"/>
            </w:pPr>
            <w:r>
              <w:rPr>
                <w:sz w:val="20"/>
              </w:rPr>
              <w:t xml:space="preserve">лица, направленные (командированные) для выполнения любых задач на новых территориях.</w:t>
            </w:r>
          </w:p>
          <w:p>
            <w:pPr>
              <w:pStyle w:val="0"/>
              <w:jc w:val="both"/>
            </w:pPr>
            <w:r>
              <w:rPr>
                <w:sz w:val="20"/>
              </w:rPr>
              <w:t xml:space="preserve">В их числе могут быть лица, замещающие:</w:t>
            </w:r>
          </w:p>
          <w:p>
            <w:pPr>
              <w:pStyle w:val="0"/>
              <w:jc w:val="both"/>
            </w:pPr>
            <w:r>
              <w:rPr>
                <w:sz w:val="20"/>
              </w:rPr>
              <w:t xml:space="preserve">государственные должности Российской Федерации, государственные должности субъектов Российской Федерации, муниципальные должности;</w:t>
            </w:r>
          </w:p>
          <w:p>
            <w:pPr>
              <w:pStyle w:val="0"/>
              <w:jc w:val="both"/>
            </w:pPr>
            <w:r>
              <w:rPr>
                <w:sz w:val="20"/>
              </w:rPr>
              <w:t xml:space="preserve">должности судей;</w:t>
            </w:r>
          </w:p>
          <w:p>
            <w:pPr>
              <w:pStyle w:val="0"/>
              <w:jc w:val="both"/>
            </w:pPr>
            <w:r>
              <w:rPr>
                <w:sz w:val="20"/>
              </w:rPr>
              <w:t xml:space="preserve">должности членов Совета директоров Банка России, заместителей Председателя Банка России и иные должности в Банке России;</w:t>
            </w:r>
          </w:p>
          <w:p>
            <w:pPr>
              <w:pStyle w:val="0"/>
              <w:jc w:val="both"/>
            </w:pPr>
            <w:r>
              <w:rPr>
                <w:sz w:val="20"/>
              </w:rPr>
              <w:t xml:space="preserve">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pPr>
              <w:pStyle w:val="0"/>
              <w:jc w:val="both"/>
            </w:pPr>
            <w:r>
              <w:rPr>
                <w:sz w:val="20"/>
              </w:rPr>
              <w:t xml:space="preserve">должности муниципальной службы;</w:t>
            </w:r>
          </w:p>
          <w:p>
            <w:pPr>
              <w:pStyle w:val="0"/>
              <w:jc w:val="both"/>
            </w:pPr>
            <w:r>
              <w:rPr>
                <w:sz w:val="20"/>
              </w:rPr>
              <w:t xml:space="preserve">должности в государственных корпорациях (компаниях), иных организациях, созданных на основании федеральных законов, и публично-правовых компаниях;</w:t>
            </w:r>
          </w:p>
          <w:p>
            <w:pPr>
              <w:pStyle w:val="0"/>
              <w:jc w:val="both"/>
            </w:pPr>
            <w:r>
              <w:rPr>
                <w:sz w:val="20"/>
              </w:rPr>
              <w:t xml:space="preserve">должности в организациях, созданных для выполнения задач, поставленных перед федеральными государственными органами</w:t>
            </w:r>
          </w:p>
        </w:tc>
      </w:tr>
      <w:tr>
        <w:tc>
          <w:tcPr>
            <w:tcW w:w="2268" w:type="dxa"/>
          </w:tcPr>
          <w:p>
            <w:pPr>
              <w:pStyle w:val="0"/>
              <w:jc w:val="both"/>
            </w:pPr>
            <w:r>
              <w:rPr>
                <w:sz w:val="20"/>
              </w:rPr>
              <w:t xml:space="preserve">Мобилизованные лица</w:t>
            </w:r>
          </w:p>
        </w:tc>
        <w:tc>
          <w:tcPr>
            <w:tcW w:w="6746" w:type="dxa"/>
          </w:tcPr>
          <w:p>
            <w:pPr>
              <w:pStyle w:val="0"/>
              <w:jc w:val="both"/>
            </w:pPr>
            <w:r>
              <w:rPr>
                <w:sz w:val="20"/>
              </w:rPr>
              <w:t xml:space="preserve">лица, призванные на военную службу по мобилизации в Вооруженные Силы Российской Федерации</w:t>
            </w:r>
          </w:p>
        </w:tc>
      </w:tr>
      <w:tr>
        <w:tc>
          <w:tcPr>
            <w:tcW w:w="2268" w:type="dxa"/>
          </w:tcPr>
          <w:p>
            <w:pPr>
              <w:pStyle w:val="0"/>
              <w:jc w:val="both"/>
            </w:pPr>
            <w:r>
              <w:rPr>
                <w:sz w:val="20"/>
              </w:rPr>
              <w:t xml:space="preserve">Новые территории</w:t>
            </w:r>
          </w:p>
        </w:tc>
        <w:tc>
          <w:tcPr>
            <w:tcW w:w="6746" w:type="dxa"/>
          </w:tcPr>
          <w:p>
            <w:pPr>
              <w:pStyle w:val="0"/>
              <w:jc w:val="both"/>
            </w:pPr>
            <w:r>
              <w:rPr>
                <w:sz w:val="20"/>
              </w:rPr>
              <w:t xml:space="preserve">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tc>
          <w:tcPr>
            <w:tcW w:w="2268" w:type="dxa"/>
          </w:tcPr>
          <w:p>
            <w:pPr>
              <w:pStyle w:val="0"/>
              <w:jc w:val="both"/>
            </w:pPr>
            <w:r>
              <w:rPr>
                <w:sz w:val="20"/>
              </w:rPr>
              <w:t xml:space="preserve">Потенциальные участники СВО</w:t>
            </w:r>
          </w:p>
        </w:tc>
        <w:tc>
          <w:tcPr>
            <w:tcW w:w="6746" w:type="dxa"/>
          </w:tcPr>
          <w:p>
            <w:pPr>
              <w:pStyle w:val="0"/>
              <w:jc w:val="both"/>
            </w:pPr>
            <w:r>
              <w:rPr>
                <w:sz w:val="20"/>
              </w:rPr>
              <w:t xml:space="preserve">лица, одновременно отвечающие следующим двум требованиям:</w:t>
            </w:r>
          </w:p>
          <w:p>
            <w:pPr>
              <w:pStyle w:val="0"/>
              <w:jc w:val="both"/>
            </w:pPr>
            <w:r>
              <w:rPr>
                <w:sz w:val="20"/>
              </w:rPr>
              <w:t xml:space="preserve">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pPr>
              <w:pStyle w:val="0"/>
              <w:jc w:val="both"/>
            </w:pPr>
            <w:r>
              <w:rPr>
                <w:sz w:val="20"/>
              </w:rPr>
              <w:t xml:space="preserve">запланировано их участие в СВО или непосредственное выполнение ими задач, связанных с ее проведением, на новых территориях и территории Украины</w:t>
            </w:r>
          </w:p>
          <w:p>
            <w:pPr>
              <w:pStyle w:val="0"/>
              <w:jc w:val="both"/>
            </w:pPr>
            <w:r>
              <w:rPr>
                <w:sz w:val="20"/>
              </w:rPr>
              <w:t xml:space="preserve">(</w:t>
            </w:r>
            <w:hyperlink w:history="0" r:id="rId1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 "б" пункта 1</w:t>
              </w:r>
            </w:hyperlink>
            <w:r>
              <w:rPr>
                <w:sz w:val="20"/>
              </w:rPr>
              <w:t xml:space="preserve"> Указа)</w:t>
            </w:r>
          </w:p>
        </w:tc>
      </w:tr>
      <w:tr>
        <w:tc>
          <w:tcPr>
            <w:tcW w:w="2268" w:type="dxa"/>
          </w:tcPr>
          <w:p>
            <w:pPr>
              <w:pStyle w:val="0"/>
              <w:jc w:val="both"/>
            </w:pPr>
            <w:r>
              <w:rPr>
                <w:sz w:val="20"/>
              </w:rPr>
              <w:t xml:space="preserve">Сведения</w:t>
            </w:r>
          </w:p>
        </w:tc>
        <w:tc>
          <w:tcPr>
            <w:tcW w:w="6746" w:type="dxa"/>
          </w:tcPr>
          <w:p>
            <w:pPr>
              <w:pStyle w:val="0"/>
              <w:jc w:val="both"/>
            </w:pPr>
            <w:r>
              <w:rPr>
                <w:sz w:val="20"/>
              </w:rPr>
              <w:t xml:space="preserve">сведения о доходах, расходах, об имуществе и обязательствах имущественного характера</w:t>
            </w:r>
          </w:p>
        </w:tc>
      </w:tr>
      <w:tr>
        <w:tc>
          <w:tcPr>
            <w:tcW w:w="2268" w:type="dxa"/>
          </w:tcPr>
          <w:p>
            <w:pPr>
              <w:pStyle w:val="0"/>
              <w:jc w:val="both"/>
            </w:pPr>
            <w:r>
              <w:rPr>
                <w:sz w:val="20"/>
              </w:rPr>
              <w:t xml:space="preserve">СВО</w:t>
            </w:r>
          </w:p>
        </w:tc>
        <w:tc>
          <w:tcPr>
            <w:tcW w:w="6746" w:type="dxa"/>
          </w:tcPr>
          <w:p>
            <w:pPr>
              <w:pStyle w:val="0"/>
              <w:jc w:val="both"/>
            </w:pPr>
            <w:r>
              <w:rPr>
                <w:sz w:val="20"/>
              </w:rPr>
              <w:t xml:space="preserve">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tc>
          <w:tcPr>
            <w:tcW w:w="2268" w:type="dxa"/>
          </w:tcPr>
          <w:p>
            <w:pPr>
              <w:pStyle w:val="0"/>
              <w:jc w:val="both"/>
            </w:pPr>
            <w:r>
              <w:rPr>
                <w:sz w:val="20"/>
              </w:rPr>
              <w:t xml:space="preserve">Указ</w:t>
            </w:r>
          </w:p>
        </w:tc>
        <w:tc>
          <w:tcPr>
            <w:tcW w:w="6746" w:type="dxa"/>
          </w:tcPr>
          <w:p>
            <w:pPr>
              <w:pStyle w:val="0"/>
              <w:jc w:val="both"/>
            </w:pPr>
            <w:hyperlink w:history="0" r:id="rId1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tc>
          <w:tcPr>
            <w:tcW w:w="2268" w:type="dxa"/>
          </w:tcPr>
          <w:p>
            <w:pPr>
              <w:pStyle w:val="0"/>
              <w:jc w:val="both"/>
            </w:pPr>
            <w:r>
              <w:rPr>
                <w:sz w:val="20"/>
              </w:rPr>
              <w:t xml:space="preserve">Участники СВО</w:t>
            </w:r>
          </w:p>
        </w:tc>
        <w:tc>
          <w:tcPr>
            <w:tcW w:w="6746" w:type="dxa"/>
          </w:tcPr>
          <w:p>
            <w:pPr>
              <w:pStyle w:val="0"/>
              <w:jc w:val="both"/>
            </w:pPr>
            <w:r>
              <w:rPr>
                <w:sz w:val="20"/>
              </w:rPr>
              <w:t xml:space="preserve">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
          <w:p>
            <w:pPr>
              <w:pStyle w:val="0"/>
              <w:jc w:val="both"/>
            </w:pPr>
            <w:r>
              <w:rPr>
                <w:sz w:val="20"/>
              </w:rPr>
              <w:t xml:space="preserve">1) принимают или когда-либо ранее принимали участие в СВО;</w:t>
            </w:r>
          </w:p>
          <w:p>
            <w:pPr>
              <w:pStyle w:val="0"/>
              <w:jc w:val="both"/>
            </w:pPr>
            <w:r>
              <w:rPr>
                <w:sz w:val="20"/>
              </w:rPr>
              <w:t xml:space="preserve">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pPr>
        <w:pStyle w:val="0"/>
        <w:jc w:val="both"/>
      </w:pPr>
      <w:r>
        <w:rPr>
          <w:sz w:val="20"/>
        </w:rPr>
      </w:r>
    </w:p>
    <w:p>
      <w:pPr>
        <w:pStyle w:val="0"/>
        <w:ind w:firstLine="540"/>
        <w:jc w:val="both"/>
      </w:pPr>
      <w:hyperlink w:history="0" r:id="rId1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w:history="0" r:id="rId15"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абзац первый пункта 1</w:t>
        </w:r>
      </w:hyperlink>
      <w:r>
        <w:rPr>
          <w:sz w:val="20"/>
        </w:rPr>
        <w:t xml:space="preserve"> Указа).</w:t>
      </w:r>
    </w:p>
    <w:p>
      <w:pPr>
        <w:pStyle w:val="0"/>
        <w:spacing w:before="200" w:line-rule="auto"/>
        <w:ind w:firstLine="540"/>
        <w:jc w:val="both"/>
      </w:pPr>
      <w:r>
        <w:rPr>
          <w:sz w:val="20"/>
        </w:rPr>
        <w:t xml:space="preserve">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pPr>
        <w:pStyle w:val="0"/>
        <w:spacing w:before="200" w:line-rule="auto"/>
        <w:ind w:firstLine="540"/>
        <w:jc w:val="both"/>
      </w:pPr>
      <w:r>
        <w:rPr>
          <w:sz w:val="20"/>
        </w:rPr>
        <w:t xml:space="preserve">Важно! </w:t>
      </w:r>
      <w:hyperlink w:history="0" r:id="rId1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pPr>
        <w:pStyle w:val="0"/>
        <w:jc w:val="both"/>
      </w:pPr>
      <w:r>
        <w:rPr>
          <w:sz w:val="20"/>
        </w:rPr>
      </w:r>
    </w:p>
    <w:p>
      <w:pPr>
        <w:pStyle w:val="2"/>
        <w:outlineLvl w:val="1"/>
        <w:jc w:val="center"/>
      </w:pPr>
      <w:r>
        <w:rPr>
          <w:sz w:val="20"/>
        </w:rPr>
        <w:t xml:space="preserve">I. Круг лиц, на которых распространяется действие Указа</w:t>
      </w:r>
    </w:p>
    <w:p>
      <w:pPr>
        <w:pStyle w:val="0"/>
        <w:jc w:val="both"/>
      </w:pPr>
      <w:r>
        <w:rPr>
          <w:sz w:val="20"/>
        </w:rPr>
      </w:r>
    </w:p>
    <w:p>
      <w:pPr>
        <w:pStyle w:val="0"/>
        <w:ind w:firstLine="540"/>
        <w:jc w:val="both"/>
      </w:pPr>
      <w:r>
        <w:rPr>
          <w:sz w:val="20"/>
        </w:rPr>
        <w:t xml:space="preserve">1. На кого распространяются нормы </w:t>
      </w:r>
      <w:hyperlink w:history="0" r:id="rId1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w:t>
      </w:r>
    </w:p>
    <w:p>
      <w:pPr>
        <w:pStyle w:val="0"/>
        <w:spacing w:before="200" w:line-rule="auto"/>
        <w:ind w:firstLine="540"/>
        <w:jc w:val="both"/>
      </w:pPr>
      <w:r>
        <w:rPr>
          <w:sz w:val="20"/>
        </w:rPr>
        <w:t xml:space="preserve">Нормы Указа распространяются:</w:t>
      </w:r>
    </w:p>
    <w:p>
      <w:pPr>
        <w:pStyle w:val="0"/>
        <w:spacing w:before="200" w:line-rule="auto"/>
        <w:ind w:firstLine="540"/>
        <w:jc w:val="both"/>
      </w:pPr>
      <w:r>
        <w:rPr>
          <w:sz w:val="20"/>
        </w:rPr>
        <w:t xml:space="preserve">1) на участников СВО и командированных лиц;</w:t>
      </w:r>
    </w:p>
    <w:p>
      <w:pPr>
        <w:pStyle w:val="0"/>
        <w:spacing w:before="200" w:line-rule="auto"/>
        <w:ind w:firstLine="540"/>
        <w:jc w:val="both"/>
      </w:pPr>
      <w:r>
        <w:rPr>
          <w:sz w:val="20"/>
        </w:rPr>
        <w:t xml:space="preserve">2) на мобилизованных лиц;</w:t>
      </w:r>
    </w:p>
    <w:p>
      <w:pPr>
        <w:pStyle w:val="0"/>
        <w:spacing w:before="200" w:line-rule="auto"/>
        <w:ind w:firstLine="540"/>
        <w:jc w:val="both"/>
      </w:pPr>
      <w:r>
        <w:rPr>
          <w:sz w:val="20"/>
        </w:rPr>
        <w:t xml:space="preserve">3) на потенциальных участников СВО;</w:t>
      </w:r>
    </w:p>
    <w:p>
      <w:pPr>
        <w:pStyle w:val="0"/>
        <w:spacing w:before="200" w:line-rule="auto"/>
        <w:ind w:firstLine="540"/>
        <w:jc w:val="both"/>
      </w:pPr>
      <w:r>
        <w:rPr>
          <w:sz w:val="20"/>
        </w:rPr>
        <w:t xml:space="preserve">4) на граждан Российской Федерации, обязанных представлять сведения в отношении своих супруг (супругов);</w:t>
      </w:r>
    </w:p>
    <w:p>
      <w:pPr>
        <w:pStyle w:val="0"/>
        <w:spacing w:before="200" w:line-rule="auto"/>
        <w:ind w:firstLine="540"/>
        <w:jc w:val="both"/>
      </w:pPr>
      <w:r>
        <w:rPr>
          <w:sz w:val="20"/>
        </w:rPr>
        <w:t xml:space="preserve">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pPr>
        <w:pStyle w:val="0"/>
        <w:jc w:val="both"/>
      </w:pPr>
      <w:r>
        <w:rPr>
          <w:sz w:val="20"/>
        </w:rPr>
      </w:r>
    </w:p>
    <w:p>
      <w:pPr>
        <w:pStyle w:val="0"/>
        <w:ind w:firstLine="540"/>
        <w:jc w:val="both"/>
      </w:pPr>
      <w:r>
        <w:rPr>
          <w:sz w:val="20"/>
        </w:rPr>
        <w:t xml:space="preserve">2. В чем основное отличие участников СВО от командированных лиц?</w:t>
      </w:r>
    </w:p>
    <w:p>
      <w:pPr>
        <w:pStyle w:val="0"/>
        <w:spacing w:before="200" w:line-rule="auto"/>
        <w:ind w:firstLine="540"/>
        <w:jc w:val="both"/>
      </w:pPr>
      <w:r>
        <w:rPr>
          <w:sz w:val="20"/>
        </w:rPr>
        <w:t xml:space="preserve">К участникам СВО относятся только лица, названные в </w:t>
      </w:r>
      <w:hyperlink w:history="0" r:id="rId1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Указе</w:t>
        </w:r>
      </w:hyperlink>
      <w:r>
        <w:rPr>
          <w:sz w:val="20"/>
        </w:rPr>
        <w:t xml:space="preserve">. Командированным лицом может быть признано любое лицо независимо от замещаемой им должности.</w:t>
      </w:r>
    </w:p>
    <w:p>
      <w:pPr>
        <w:pStyle w:val="0"/>
        <w:spacing w:before="200" w:line-rule="auto"/>
        <w:ind w:firstLine="540"/>
        <w:jc w:val="both"/>
      </w:pPr>
      <w:r>
        <w:rPr>
          <w:sz w:val="20"/>
        </w:rPr>
        <w:t xml:space="preserve">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pPr>
        <w:pStyle w:val="0"/>
        <w:jc w:val="both"/>
      </w:pPr>
      <w:r>
        <w:rPr>
          <w:sz w:val="20"/>
        </w:rPr>
      </w:r>
    </w:p>
    <w:p>
      <w:pPr>
        <w:pStyle w:val="0"/>
        <w:ind w:firstLine="540"/>
        <w:jc w:val="both"/>
      </w:pPr>
      <w:r>
        <w:rPr>
          <w:sz w:val="20"/>
        </w:rPr>
        <w:t xml:space="preserve">3. Имеет ли значение срок пребывания участников СВО и командированных лиц на новых территориях, территории Украины?</w:t>
      </w:r>
    </w:p>
    <w:p>
      <w:pPr>
        <w:pStyle w:val="0"/>
        <w:spacing w:before="200" w:line-rule="auto"/>
        <w:ind w:firstLine="540"/>
        <w:jc w:val="both"/>
      </w:pPr>
      <w:r>
        <w:rPr>
          <w:sz w:val="20"/>
        </w:rPr>
        <w:t xml:space="preserve">Пребывание участников СВО и командированных лиц на соответствующих территориях предусматривается </w:t>
      </w:r>
      <w:hyperlink w:history="0" r:id="rId1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вне зависимости от сроков.</w:t>
      </w:r>
    </w:p>
    <w:p>
      <w:pPr>
        <w:pStyle w:val="0"/>
        <w:jc w:val="both"/>
      </w:pPr>
      <w:r>
        <w:rPr>
          <w:sz w:val="20"/>
        </w:rPr>
      </w:r>
    </w:p>
    <w:p>
      <w:pPr>
        <w:pStyle w:val="0"/>
        <w:ind w:firstLine="540"/>
        <w:jc w:val="both"/>
      </w:pPr>
      <w:r>
        <w:rPr>
          <w:sz w:val="20"/>
        </w:rPr>
        <w:t xml:space="preserve">4. Распространяются ли нормы </w:t>
      </w:r>
      <w:hyperlink w:history="0" r:id="rId2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pPr>
        <w:pStyle w:val="0"/>
        <w:spacing w:before="200" w:line-rule="auto"/>
        <w:ind w:firstLine="540"/>
        <w:jc w:val="both"/>
      </w:pPr>
      <w:r>
        <w:rPr>
          <w:sz w:val="20"/>
        </w:rPr>
        <w:t xml:space="preserve">Исходя из норм </w:t>
      </w:r>
      <w:hyperlink w:history="0" r:id="rId2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pPr>
        <w:pStyle w:val="0"/>
        <w:spacing w:before="200" w:line-rule="auto"/>
        <w:ind w:firstLine="540"/>
        <w:jc w:val="both"/>
      </w:pPr>
      <w:r>
        <w:rPr>
          <w:sz w:val="20"/>
        </w:rPr>
        <w:t xml:space="preserve">Нормы </w:t>
      </w:r>
      <w:hyperlink w:history="0" r:id="rId2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pPr>
        <w:pStyle w:val="0"/>
        <w:spacing w:before="200" w:line-rule="auto"/>
        <w:ind w:firstLine="540"/>
        <w:jc w:val="both"/>
      </w:pPr>
      <w:r>
        <w:rPr>
          <w:sz w:val="20"/>
        </w:rP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w:history="0" r:id="rId2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при условии их нахождения и выполнения ими соответствующих задач на данных территориях.</w:t>
      </w:r>
    </w:p>
    <w:p>
      <w:pPr>
        <w:pStyle w:val="0"/>
        <w:spacing w:before="200" w:line-rule="auto"/>
        <w:ind w:firstLine="540"/>
        <w:jc w:val="both"/>
      </w:pPr>
      <w:r>
        <w:rPr>
          <w:sz w:val="20"/>
        </w:rPr>
        <w:t xml:space="preserve">Отнесение участников СВО к указанным категориям осуществляется государственным органом самостоятельно.</w:t>
      </w:r>
    </w:p>
    <w:p>
      <w:pPr>
        <w:pStyle w:val="0"/>
        <w:jc w:val="both"/>
      </w:pPr>
      <w:r>
        <w:rPr>
          <w:sz w:val="20"/>
        </w:rPr>
      </w:r>
    </w:p>
    <w:p>
      <w:pPr>
        <w:pStyle w:val="0"/>
        <w:ind w:firstLine="540"/>
        <w:jc w:val="both"/>
      </w:pPr>
      <w:r>
        <w:rPr>
          <w:sz w:val="20"/>
        </w:rPr>
        <w:t xml:space="preserve">5. Распространяются ли нормы </w:t>
      </w:r>
      <w:hyperlink w:history="0" r:id="rId2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pPr>
        <w:pStyle w:val="0"/>
        <w:spacing w:before="200" w:line-rule="auto"/>
        <w:ind w:firstLine="540"/>
        <w:jc w:val="both"/>
      </w:pPr>
      <w:r>
        <w:rPr>
          <w:sz w:val="20"/>
        </w:rPr>
        <w:t xml:space="preserve">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pPr>
        <w:pStyle w:val="0"/>
        <w:spacing w:before="200" w:line-rule="auto"/>
        <w:ind w:firstLine="540"/>
        <w:jc w:val="both"/>
      </w:pPr>
      <w:r>
        <w:rPr>
          <w:sz w:val="20"/>
        </w:rPr>
        <w:t xml:space="preserve">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pPr>
        <w:pStyle w:val="0"/>
        <w:jc w:val="both"/>
      </w:pPr>
      <w:r>
        <w:rPr>
          <w:sz w:val="20"/>
        </w:rPr>
      </w:r>
    </w:p>
    <w:p>
      <w:pPr>
        <w:pStyle w:val="0"/>
        <w:ind w:firstLine="540"/>
        <w:jc w:val="both"/>
      </w:pPr>
      <w:r>
        <w:rPr>
          <w:sz w:val="20"/>
        </w:rPr>
        <w:t xml:space="preserve">6. Распространяются ли нормы </w:t>
      </w:r>
      <w:hyperlink w:history="0" r:id="rId25"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pPr>
        <w:pStyle w:val="0"/>
        <w:spacing w:before="200" w:line-rule="auto"/>
        <w:ind w:firstLine="540"/>
        <w:jc w:val="both"/>
      </w:pPr>
      <w:r>
        <w:rPr>
          <w:sz w:val="20"/>
        </w:rP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w:history="0" r:id="rId2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распространяются в полной мере.</w:t>
      </w:r>
    </w:p>
    <w:p>
      <w:pPr>
        <w:pStyle w:val="0"/>
        <w:jc w:val="both"/>
      </w:pPr>
      <w:r>
        <w:rPr>
          <w:sz w:val="20"/>
        </w:rPr>
      </w:r>
    </w:p>
    <w:p>
      <w:pPr>
        <w:pStyle w:val="0"/>
        <w:ind w:firstLine="540"/>
        <w:jc w:val="both"/>
      </w:pPr>
      <w:r>
        <w:rPr>
          <w:sz w:val="20"/>
        </w:rPr>
        <w:t xml:space="preserve">7. Распространяются ли нормы </w:t>
      </w:r>
      <w:hyperlink w:history="0" r:id="rId2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pPr>
        <w:pStyle w:val="0"/>
        <w:spacing w:before="200" w:line-rule="auto"/>
        <w:ind w:firstLine="540"/>
        <w:jc w:val="both"/>
      </w:pPr>
      <w:r>
        <w:rPr>
          <w:sz w:val="20"/>
        </w:rPr>
        <w:t xml:space="preserve">Нет, не распространяются.</w:t>
      </w:r>
    </w:p>
    <w:p>
      <w:pPr>
        <w:pStyle w:val="0"/>
        <w:jc w:val="both"/>
      </w:pPr>
      <w:r>
        <w:rPr>
          <w:sz w:val="20"/>
        </w:rPr>
      </w:r>
    </w:p>
    <w:p>
      <w:pPr>
        <w:pStyle w:val="0"/>
        <w:ind w:firstLine="540"/>
        <w:jc w:val="both"/>
      </w:pPr>
      <w:r>
        <w:rPr>
          <w:sz w:val="20"/>
        </w:rPr>
        <w:t xml:space="preserve">8. Распространяются ли нормы </w:t>
      </w:r>
      <w:hyperlink w:history="0" r:id="rId2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мобилизованных лиц и добровольцев?</w:t>
      </w:r>
    </w:p>
    <w:p>
      <w:pPr>
        <w:pStyle w:val="0"/>
        <w:spacing w:before="200" w:line-rule="auto"/>
        <w:ind w:firstLine="540"/>
        <w:jc w:val="both"/>
      </w:pPr>
      <w:hyperlink w:history="0" r:id="rId2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"д" пункта 1</w:t>
        </w:r>
      </w:hyperlink>
      <w:r>
        <w:rPr>
          <w:sz w:val="20"/>
        </w:rPr>
        <w:t xml:space="preserve"> Указа установлено, что на мобилизованных лиц антикоррупционные стандарты не распространяются.</w:t>
      </w:r>
    </w:p>
    <w:p>
      <w:pPr>
        <w:pStyle w:val="0"/>
        <w:spacing w:before="200" w:line-rule="auto"/>
        <w:ind w:firstLine="540"/>
        <w:jc w:val="both"/>
      </w:pPr>
      <w:r>
        <w:rPr>
          <w:sz w:val="20"/>
        </w:rPr>
        <w:t xml:space="preserve">Правовое регулирование в отношении добровольцев </w:t>
      </w:r>
      <w:hyperlink w:history="0" r:id="rId3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pPr>
        <w:pStyle w:val="0"/>
        <w:spacing w:before="200" w:line-rule="auto"/>
        <w:ind w:firstLine="540"/>
        <w:jc w:val="both"/>
      </w:pPr>
      <w:r>
        <w:rPr>
          <w:sz w:val="20"/>
        </w:rPr>
        <w:t xml:space="preserve">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 приостанавливаются.</w:t>
      </w:r>
    </w:p>
    <w:p>
      <w:pPr>
        <w:pStyle w:val="0"/>
        <w:jc w:val="both"/>
      </w:pPr>
      <w:r>
        <w:rPr>
          <w:sz w:val="20"/>
        </w:rPr>
      </w:r>
    </w:p>
    <w:p>
      <w:pPr>
        <w:pStyle w:val="0"/>
        <w:ind w:firstLine="540"/>
        <w:jc w:val="both"/>
      </w:pPr>
      <w:r>
        <w:rPr>
          <w:sz w:val="20"/>
        </w:rPr>
        <w:t xml:space="preserve">9. Распространяются ли нормы </w:t>
      </w:r>
      <w:hyperlink w:history="0" r:id="rId3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кандидатов, обязанных представлять сведения в соответствии с избирательным законодательством?</w:t>
      </w:r>
    </w:p>
    <w:p>
      <w:pPr>
        <w:pStyle w:val="0"/>
        <w:spacing w:before="200" w:line-rule="auto"/>
        <w:ind w:firstLine="540"/>
        <w:jc w:val="both"/>
      </w:pPr>
      <w:r>
        <w:rPr>
          <w:sz w:val="20"/>
        </w:rPr>
        <w:t xml:space="preserve">Нет, не распространяются.</w:t>
      </w:r>
    </w:p>
    <w:p>
      <w:pPr>
        <w:pStyle w:val="0"/>
        <w:jc w:val="both"/>
      </w:pPr>
      <w:r>
        <w:rPr>
          <w:sz w:val="20"/>
        </w:rPr>
      </w:r>
    </w:p>
    <w:p>
      <w:pPr>
        <w:pStyle w:val="2"/>
        <w:outlineLvl w:val="1"/>
        <w:jc w:val="center"/>
      </w:pPr>
      <w:r>
        <w:rPr>
          <w:sz w:val="20"/>
        </w:rPr>
        <w:t xml:space="preserve">II. Особенности исполнения обязанности представлять сведения</w:t>
      </w:r>
    </w:p>
    <w:p>
      <w:pPr>
        <w:pStyle w:val="0"/>
        <w:jc w:val="both"/>
      </w:pPr>
      <w:r>
        <w:rPr>
          <w:sz w:val="20"/>
        </w:rPr>
      </w:r>
    </w:p>
    <w:p>
      <w:pPr>
        <w:pStyle w:val="0"/>
        <w:ind w:firstLine="540"/>
        <w:jc w:val="both"/>
      </w:pPr>
      <w:r>
        <w:rPr>
          <w:sz w:val="20"/>
        </w:rPr>
        <w:t xml:space="preserve">10. Обязаны ли участники СВО и командированные лица представлять сведения в ходе декларационных кампаний?</w:t>
      </w:r>
    </w:p>
    <w:p>
      <w:pPr>
        <w:pStyle w:val="0"/>
        <w:spacing w:before="200" w:line-rule="auto"/>
        <w:ind w:firstLine="540"/>
        <w:jc w:val="both"/>
      </w:pPr>
      <w:r>
        <w:rPr>
          <w:sz w:val="20"/>
        </w:rPr>
        <w:t xml:space="preserve">Нет, участники СВО и командированные лица не представляют сведения, начиная с декларационной кампании 2022 года (за отчетный 2021 год), поскольку действие </w:t>
      </w:r>
      <w:hyperlink w:history="0" r:id="rId3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распространяется на правоотношения, возникшие с 24 февраля 2022 года.</w:t>
      </w:r>
    </w:p>
    <w:p>
      <w:pPr>
        <w:pStyle w:val="0"/>
        <w:spacing w:before="200" w:line-rule="auto"/>
        <w:ind w:firstLine="540"/>
        <w:jc w:val="both"/>
      </w:pPr>
      <w:r>
        <w:rPr>
          <w:sz w:val="20"/>
        </w:rPr>
        <w:t xml:space="preserve">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pPr>
        <w:pStyle w:val="0"/>
        <w:spacing w:before="200" w:line-rule="auto"/>
        <w:ind w:firstLine="540"/>
        <w:jc w:val="both"/>
      </w:pPr>
      <w:r>
        <w:rPr>
          <w:sz w:val="20"/>
        </w:rPr>
        <w:t xml:space="preserve">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pPr>
        <w:pStyle w:val="0"/>
        <w:spacing w:before="200" w:line-rule="auto"/>
        <w:ind w:firstLine="540"/>
        <w:jc w:val="both"/>
      </w:pPr>
      <w:r>
        <w:rPr>
          <w:sz w:val="20"/>
        </w:rPr>
        <w:t xml:space="preserve">Однако в случае, если обязанность представить сведения уже исполнена, такие сведения возврату не подлежат.</w:t>
      </w:r>
    </w:p>
    <w:p>
      <w:pPr>
        <w:pStyle w:val="0"/>
        <w:spacing w:before="200" w:line-rule="auto"/>
        <w:ind w:firstLine="540"/>
        <w:jc w:val="both"/>
      </w:pPr>
      <w:r>
        <w:rPr>
          <w:sz w:val="20"/>
        </w:rPr>
        <w:t xml:space="preserve">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pPr>
        <w:pStyle w:val="0"/>
        <w:spacing w:before="200" w:line-rule="auto"/>
        <w:ind w:firstLine="540"/>
        <w:jc w:val="both"/>
      </w:pPr>
      <w:r>
        <w:rPr>
          <w:sz w:val="20"/>
        </w:rP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w:history="0" r:id="rId3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w:t>
      </w:r>
    </w:p>
    <w:p>
      <w:pPr>
        <w:pStyle w:val="0"/>
        <w:spacing w:before="200" w:line-rule="auto"/>
        <w:ind w:firstLine="540"/>
        <w:jc w:val="both"/>
      </w:pPr>
      <w:r>
        <w:rPr>
          <w:sz w:val="20"/>
        </w:rPr>
        <w:t xml:space="preserve">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pPr>
        <w:pStyle w:val="0"/>
        <w:jc w:val="both"/>
      </w:pPr>
      <w:r>
        <w:rPr>
          <w:sz w:val="20"/>
        </w:rPr>
      </w:r>
    </w:p>
    <w:p>
      <w:pPr>
        <w:pStyle w:val="0"/>
        <w:ind w:firstLine="540"/>
        <w:jc w:val="both"/>
      </w:pPr>
      <w:r>
        <w:rPr>
          <w:sz w:val="20"/>
        </w:rPr>
        <w:t xml:space="preserve">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pPr>
        <w:pStyle w:val="0"/>
        <w:spacing w:before="200" w:line-rule="auto"/>
        <w:ind w:firstLine="540"/>
        <w:jc w:val="both"/>
      </w:pPr>
      <w:r>
        <w:rPr>
          <w:sz w:val="20"/>
        </w:rPr>
        <w:t xml:space="preserve">От исполнения данной обязанности освобождены только участники СВО и потенциальные участники СВО, которые одновременно:</w:t>
      </w:r>
    </w:p>
    <w:p>
      <w:pPr>
        <w:pStyle w:val="0"/>
        <w:spacing w:before="200" w:line-rule="auto"/>
        <w:ind w:firstLine="540"/>
        <w:jc w:val="both"/>
      </w:pPr>
      <w:r>
        <w:rPr>
          <w:sz w:val="20"/>
        </w:rPr>
        <w:t xml:space="preserve">1) проходят государственную службу и по замещаемой должности государственной службы не обязаны представлять сведения;</w:t>
      </w:r>
    </w:p>
    <w:p>
      <w:pPr>
        <w:pStyle w:val="0"/>
        <w:spacing w:before="200" w:line-rule="auto"/>
        <w:ind w:firstLine="540"/>
        <w:jc w:val="both"/>
      </w:pPr>
      <w:r>
        <w:rPr>
          <w:sz w:val="20"/>
        </w:rPr>
        <w:t xml:space="preserve">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pPr>
        <w:pStyle w:val="0"/>
        <w:spacing w:before="200" w:line-rule="auto"/>
        <w:ind w:firstLine="540"/>
        <w:jc w:val="both"/>
      </w:pPr>
      <w:r>
        <w:rPr>
          <w:sz w:val="20"/>
        </w:rPr>
        <w:t xml:space="preserve">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pPr>
        <w:pStyle w:val="0"/>
        <w:spacing w:before="200" w:line-rule="auto"/>
        <w:ind w:firstLine="540"/>
        <w:jc w:val="both"/>
      </w:pPr>
      <w:r>
        <w:rPr>
          <w:sz w:val="20"/>
        </w:rPr>
        <w:t xml:space="preserve">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pPr>
        <w:pStyle w:val="0"/>
        <w:spacing w:before="200" w:line-rule="auto"/>
        <w:ind w:firstLine="540"/>
        <w:jc w:val="both"/>
      </w:pPr>
      <w:r>
        <w:rPr>
          <w:sz w:val="20"/>
        </w:rPr>
        <w:t xml:space="preserve">Что касается командированных лиц, то они обязаны представлять сведения, поскольку в этой части никакие особенности в отношении их </w:t>
      </w:r>
      <w:hyperlink w:history="0" r:id="rId3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не установлены.</w:t>
      </w:r>
    </w:p>
    <w:p>
      <w:pPr>
        <w:pStyle w:val="0"/>
        <w:jc w:val="both"/>
      </w:pPr>
      <w:r>
        <w:rPr>
          <w:sz w:val="20"/>
        </w:rPr>
      </w:r>
    </w:p>
    <w:p>
      <w:pPr>
        <w:pStyle w:val="0"/>
        <w:ind w:firstLine="540"/>
        <w:jc w:val="both"/>
      </w:pPr>
      <w:r>
        <w:rPr>
          <w:sz w:val="20"/>
        </w:rPr>
        <w:t xml:space="preserve">12. Имеется ли обязанность представлять сведения при смене места прохождения службы или места работы?</w:t>
      </w:r>
    </w:p>
    <w:p>
      <w:pPr>
        <w:pStyle w:val="0"/>
        <w:spacing w:before="200" w:line-rule="auto"/>
        <w:ind w:firstLine="540"/>
        <w:jc w:val="both"/>
      </w:pPr>
      <w:r>
        <w:rPr>
          <w:sz w:val="20"/>
        </w:rPr>
        <w:t xml:space="preserve">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pPr>
        <w:pStyle w:val="0"/>
        <w:spacing w:before="200" w:line-rule="auto"/>
        <w:ind w:firstLine="540"/>
        <w:jc w:val="both"/>
      </w:pPr>
      <w:r>
        <w:rPr>
          <w:sz w:val="20"/>
        </w:rPr>
        <w:t xml:space="preserve">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pPr>
        <w:pStyle w:val="0"/>
        <w:spacing w:before="200" w:line-rule="auto"/>
        <w:ind w:firstLine="540"/>
        <w:jc w:val="both"/>
      </w:pPr>
      <w:r>
        <w:rPr>
          <w:sz w:val="20"/>
        </w:rPr>
        <w:t xml:space="preserve">Кроме того, на основании </w:t>
      </w:r>
      <w:hyperlink w:history="0" r:id="rId35"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подпункта "а" пункта 1</w:t>
        </w:r>
      </w:hyperlink>
      <w:r>
        <w:rPr>
          <w:sz w:val="20"/>
        </w:rPr>
        <w:t xml:space="preserve"> Указа они будут освобождены от представления сведений в ходе декларационной кампании по новому месту прохождения службы или работы.</w:t>
      </w:r>
    </w:p>
    <w:p>
      <w:pPr>
        <w:pStyle w:val="0"/>
        <w:jc w:val="both"/>
      </w:pPr>
      <w:r>
        <w:rPr>
          <w:sz w:val="20"/>
        </w:rPr>
      </w:r>
    </w:p>
    <w:p>
      <w:pPr>
        <w:pStyle w:val="0"/>
        <w:ind w:firstLine="540"/>
        <w:jc w:val="both"/>
      </w:pPr>
      <w:r>
        <w:rPr>
          <w:sz w:val="20"/>
        </w:rPr>
        <w:t xml:space="preserve">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pPr>
        <w:pStyle w:val="0"/>
        <w:spacing w:before="200" w:line-rule="auto"/>
        <w:ind w:firstLine="540"/>
        <w:jc w:val="both"/>
      </w:pPr>
      <w:r>
        <w:rPr>
          <w:sz w:val="20"/>
        </w:rPr>
        <w:t xml:space="preserve">Участник СВО или командированное лицо, получившие такой статус по предыдущему месту прохождения службы или месту работы, в случае замещения должности депутата законодательного органа субъекта Российской Федерации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pPr>
        <w:pStyle w:val="0"/>
        <w:spacing w:before="200" w:line-rule="auto"/>
        <w:ind w:firstLine="540"/>
        <w:jc w:val="both"/>
      </w:pPr>
      <w:r>
        <w:rPr>
          <w:sz w:val="20"/>
        </w:rPr>
        <w:t xml:space="preserve">При этом впоследствии указанные лица освобождаются от обязанности ежегодно сообщать о несовершении сделок, предусмотренных Федеральным </w:t>
      </w:r>
      <w:hyperlink w:history="0" r:id="rId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jc w:val="both"/>
      </w:pPr>
      <w:r>
        <w:rPr>
          <w:sz w:val="20"/>
        </w:rPr>
      </w:r>
    </w:p>
    <w:p>
      <w:pPr>
        <w:pStyle w:val="0"/>
        <w:ind w:firstLine="540"/>
        <w:jc w:val="both"/>
      </w:pPr>
      <w:r>
        <w:rPr>
          <w:sz w:val="20"/>
        </w:rPr>
        <w:t xml:space="preserve">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pPr>
        <w:pStyle w:val="0"/>
        <w:spacing w:before="200" w:line-rule="auto"/>
        <w:ind w:firstLine="540"/>
        <w:jc w:val="both"/>
      </w:pPr>
      <w:r>
        <w:rPr>
          <w:sz w:val="20"/>
        </w:rPr>
        <w:t xml:space="preserve">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pPr>
        <w:pStyle w:val="0"/>
        <w:spacing w:before="200" w:line-rule="auto"/>
        <w:ind w:firstLine="540"/>
        <w:jc w:val="both"/>
      </w:pPr>
      <w:r>
        <w:rPr>
          <w:sz w:val="20"/>
        </w:rPr>
        <w:t xml:space="preserve">В дальнейшем в период действия </w:t>
      </w:r>
      <w:hyperlink w:history="0" r:id="rId3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названные лица в ходе декларационных кампаний сведения не представляют.</w:t>
      </w:r>
    </w:p>
    <w:p>
      <w:pPr>
        <w:pStyle w:val="0"/>
        <w:spacing w:before="200" w:line-rule="auto"/>
        <w:ind w:firstLine="540"/>
        <w:jc w:val="both"/>
      </w:pPr>
      <w:r>
        <w:rPr>
          <w:sz w:val="20"/>
        </w:rP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history="0" w:anchor="P219" w:tooltip="Информация">
        <w:r>
          <w:rPr>
            <w:sz w:val="20"/>
            <w:color w:val="0000ff"/>
          </w:rPr>
          <w:t xml:space="preserve">приложении N 1</w:t>
        </w:r>
      </w:hyperlink>
      <w:r>
        <w:rPr>
          <w:sz w:val="20"/>
        </w:rPr>
        <w:t xml:space="preserve"> к настоящим инструктивно-методическим материалам.</w:t>
      </w:r>
    </w:p>
    <w:p>
      <w:pPr>
        <w:pStyle w:val="0"/>
        <w:jc w:val="both"/>
      </w:pPr>
      <w:r>
        <w:rPr>
          <w:sz w:val="20"/>
        </w:rPr>
      </w:r>
    </w:p>
    <w:p>
      <w:pPr>
        <w:pStyle w:val="0"/>
        <w:ind w:firstLine="540"/>
        <w:jc w:val="both"/>
      </w:pPr>
      <w:r>
        <w:rPr>
          <w:sz w:val="20"/>
        </w:rPr>
        <w:t xml:space="preserve">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pPr>
        <w:pStyle w:val="0"/>
        <w:spacing w:before="200" w:line-rule="auto"/>
        <w:ind w:firstLine="540"/>
        <w:jc w:val="both"/>
      </w:pPr>
      <w:r>
        <w:rPr>
          <w:sz w:val="20"/>
        </w:rPr>
        <w:t xml:space="preserve">Согласно </w:t>
      </w:r>
      <w:hyperlink w:history="0" r:id="rId3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подпункту "е" пункта 1</w:t>
        </w:r>
      </w:hyperlink>
      <w:r>
        <w:rPr>
          <w:sz w:val="20"/>
        </w:rP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Обязанность представлять сведения в отношении своих супруг (супругов) возникает у граждан Российской Федерации, которые:</w:t>
      </w:r>
    </w:p>
    <w:p>
      <w:pPr>
        <w:pStyle w:val="0"/>
        <w:spacing w:before="200" w:line-rule="auto"/>
        <w:ind w:firstLine="540"/>
        <w:jc w:val="both"/>
      </w:pPr>
      <w:r>
        <w:rPr>
          <w:sz w:val="20"/>
        </w:rPr>
        <w:t xml:space="preserve">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pPr>
        <w:pStyle w:val="0"/>
        <w:spacing w:before="200" w:line-rule="auto"/>
        <w:ind w:firstLine="540"/>
        <w:jc w:val="both"/>
      </w:pPr>
      <w:r>
        <w:rPr>
          <w:sz w:val="20"/>
        </w:rPr>
        <w:t xml:space="preserve">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pPr>
        <w:pStyle w:val="0"/>
        <w:spacing w:before="200" w:line-rule="auto"/>
        <w:ind w:firstLine="540"/>
        <w:jc w:val="both"/>
      </w:pPr>
      <w:r>
        <w:rPr>
          <w:sz w:val="20"/>
        </w:rPr>
        <w:t xml:space="preserve">3) занимают должности, замещение которых предусматривает ежегодное представление сведений (в ходе декларационных кампаний).</w:t>
      </w:r>
    </w:p>
    <w:p>
      <w:pPr>
        <w:pStyle w:val="0"/>
        <w:jc w:val="both"/>
      </w:pPr>
      <w:r>
        <w:rPr>
          <w:sz w:val="20"/>
        </w:rPr>
      </w:r>
    </w:p>
    <w:p>
      <w:pPr>
        <w:pStyle w:val="0"/>
        <w:ind w:firstLine="540"/>
        <w:jc w:val="both"/>
      </w:pPr>
      <w:r>
        <w:rPr>
          <w:sz w:val="20"/>
        </w:rPr>
        <w:t xml:space="preserve">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pPr>
        <w:pStyle w:val="0"/>
        <w:spacing w:before="200" w:line-rule="auto"/>
        <w:ind w:firstLine="540"/>
        <w:jc w:val="both"/>
      </w:pPr>
      <w:r>
        <w:rPr>
          <w:sz w:val="20"/>
        </w:rPr>
        <w:t xml:space="preserve">2) командированы для выполнения задач на новых территориях и выполняют такие задачи;</w:t>
      </w:r>
    </w:p>
    <w:p>
      <w:pPr>
        <w:pStyle w:val="0"/>
        <w:spacing w:before="200" w:line-rule="auto"/>
        <w:ind w:firstLine="540"/>
        <w:jc w:val="both"/>
      </w:pPr>
      <w:r>
        <w:rPr>
          <w:sz w:val="20"/>
        </w:rPr>
        <w:t xml:space="preserve">3) являются мобилизованными лицами;</w:t>
      </w:r>
    </w:p>
    <w:p>
      <w:pPr>
        <w:pStyle w:val="0"/>
        <w:spacing w:before="200" w:line-rule="auto"/>
        <w:ind w:firstLine="540"/>
        <w:jc w:val="both"/>
      </w:pPr>
      <w:r>
        <w:rPr>
          <w:sz w:val="20"/>
        </w:rPr>
        <w:t xml:space="preserve">4) являются добровольцами.</w:t>
      </w:r>
    </w:p>
    <w:p>
      <w:pPr>
        <w:pStyle w:val="0"/>
        <w:spacing w:before="200" w:line-rule="auto"/>
        <w:ind w:firstLine="540"/>
        <w:jc w:val="both"/>
      </w:pPr>
      <w:r>
        <w:rPr>
          <w:sz w:val="20"/>
        </w:rPr>
        <w:t xml:space="preserve">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pPr>
        <w:pStyle w:val="0"/>
        <w:spacing w:before="200" w:line-rule="auto"/>
        <w:ind w:firstLine="540"/>
        <w:jc w:val="both"/>
      </w:pPr>
      <w:r>
        <w:rPr>
          <w:sz w:val="20"/>
        </w:rPr>
        <w:t xml:space="preserve">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случае непредставления сведений в отношении супруга (супруги) по основаниям, предусмотренным </w:t>
      </w:r>
      <w:hyperlink w:history="0" r:id="rId3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"е" пункта 1</w:t>
        </w:r>
      </w:hyperlink>
      <w:r>
        <w:rPr>
          <w:sz w:val="20"/>
        </w:rP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также вопрос N 17.</w:t>
      </w:r>
    </w:p>
    <w:p>
      <w:pPr>
        <w:pStyle w:val="0"/>
        <w:jc w:val="both"/>
      </w:pPr>
      <w:r>
        <w:rPr>
          <w:sz w:val="20"/>
        </w:rPr>
      </w:r>
    </w:p>
    <w:p>
      <w:pPr>
        <w:pStyle w:val="0"/>
        <w:ind w:firstLine="540"/>
        <w:jc w:val="both"/>
      </w:pPr>
      <w:r>
        <w:rPr>
          <w:sz w:val="20"/>
        </w:rPr>
        <w:t xml:space="preserve">16. Нужно ли принимать сведения, если участник СВО, потенциальный участник СВО или командированное лицо настаивает на их представлении?</w:t>
      </w:r>
    </w:p>
    <w:p>
      <w:pPr>
        <w:pStyle w:val="0"/>
        <w:spacing w:before="200" w:line-rule="auto"/>
        <w:ind w:firstLine="540"/>
        <w:jc w:val="both"/>
      </w:pPr>
      <w:r>
        <w:rPr>
          <w:sz w:val="20"/>
        </w:rPr>
        <w:t xml:space="preserve">Согласно </w:t>
      </w:r>
      <w:hyperlink w:history="0" r:id="rId4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Указу</w:t>
        </w:r>
      </w:hyperlink>
      <w:r>
        <w:rPr>
          <w:sz w:val="20"/>
        </w:rPr>
        <w:t xml:space="preserve"> участники СВО, потенциальные участники СВО, командированные лица и граждане Российской Федерации, названные в </w:t>
      </w:r>
      <w:hyperlink w:history="0" r:id="rId4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подпункте "е" пункта 1</w:t>
        </w:r>
      </w:hyperlink>
      <w:r>
        <w:rPr>
          <w:sz w:val="20"/>
        </w:rPr>
        <w:t xml:space="preserve"> Указа, сведения не представляют.</w:t>
      </w:r>
    </w:p>
    <w:p>
      <w:pPr>
        <w:pStyle w:val="0"/>
        <w:spacing w:before="200" w:line-rule="auto"/>
        <w:ind w:firstLine="540"/>
        <w:jc w:val="both"/>
      </w:pPr>
      <w:r>
        <w:rPr>
          <w:sz w:val="20"/>
        </w:rPr>
        <w:t xml:space="preserve">Вместе с тем, если указанные лица полагают целесообразным представить сведения, они принимаются в установленном порядке.</w:t>
      </w:r>
    </w:p>
    <w:p>
      <w:pPr>
        <w:pStyle w:val="0"/>
        <w:jc w:val="both"/>
      </w:pPr>
      <w:r>
        <w:rPr>
          <w:sz w:val="20"/>
        </w:rPr>
      </w:r>
    </w:p>
    <w:p>
      <w:pPr>
        <w:pStyle w:val="0"/>
        <w:ind w:firstLine="540"/>
        <w:jc w:val="both"/>
      </w:pPr>
      <w:r>
        <w:rPr>
          <w:sz w:val="20"/>
        </w:rPr>
        <w:t xml:space="preserve">17. Нужно ли информировать о наличии оснований для непредставления сведений и (или) представлять подтверждающие наличие таких оснований документы?</w:t>
      </w:r>
    </w:p>
    <w:p>
      <w:pPr>
        <w:pStyle w:val="0"/>
        <w:spacing w:before="200" w:line-rule="auto"/>
        <w:ind w:firstLine="540"/>
        <w:jc w:val="both"/>
      </w:pPr>
      <w:r>
        <w:rPr>
          <w:sz w:val="20"/>
        </w:rPr>
        <w:t xml:space="preserve">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 или организации.</w:t>
      </w:r>
    </w:p>
    <w:p>
      <w:pPr>
        <w:pStyle w:val="0"/>
        <w:spacing w:before="200" w:line-rule="auto"/>
        <w:ind w:firstLine="540"/>
        <w:jc w:val="both"/>
      </w:pPr>
      <w:r>
        <w:rPr>
          <w:sz w:val="20"/>
        </w:rP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history="0" w:anchor="P219" w:tooltip="Информация">
        <w:r>
          <w:rPr>
            <w:sz w:val="20"/>
            <w:color w:val="0000ff"/>
          </w:rPr>
          <w:t xml:space="preserve">приложении N 1</w:t>
        </w:r>
      </w:hyperlink>
      <w:r>
        <w:rPr>
          <w:sz w:val="20"/>
        </w:rPr>
        <w:t xml:space="preserve"> к настоящим инструктивно-методическим материалам).</w:t>
      </w:r>
    </w:p>
    <w:p>
      <w:pPr>
        <w:pStyle w:val="0"/>
        <w:spacing w:before="200" w:line-rule="auto"/>
        <w:ind w:firstLine="540"/>
        <w:jc w:val="both"/>
      </w:pPr>
      <w:r>
        <w:rPr>
          <w:sz w:val="20"/>
        </w:rPr>
        <w:t xml:space="preserve">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 для непредставления сведений (например, по форме, приведенной в </w:t>
      </w:r>
      <w:hyperlink w:history="0" w:anchor="P219" w:tooltip="Информация">
        <w:r>
          <w:rPr>
            <w:sz w:val="20"/>
            <w:color w:val="0000ff"/>
          </w:rPr>
          <w:t xml:space="preserve">приложении N 1</w:t>
        </w:r>
      </w:hyperlink>
      <w:r>
        <w:rPr>
          <w:sz w:val="20"/>
        </w:rPr>
        <w:t xml:space="preserve"> к настоящим инструктивно-методическим материалам) и подтверждающие документы.</w:t>
      </w:r>
    </w:p>
    <w:p>
      <w:pPr>
        <w:pStyle w:val="0"/>
        <w:spacing w:before="200" w:line-rule="auto"/>
        <w:ind w:firstLine="540"/>
        <w:jc w:val="both"/>
      </w:pPr>
      <w:r>
        <w:rPr>
          <w:sz w:val="20"/>
        </w:rPr>
        <w:t xml:space="preserve">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pPr>
        <w:pStyle w:val="0"/>
        <w:spacing w:before="200" w:line-rule="auto"/>
        <w:ind w:firstLine="540"/>
        <w:jc w:val="both"/>
      </w:pPr>
      <w:r>
        <w:rPr>
          <w:sz w:val="20"/>
        </w:rPr>
        <w:t xml:space="preserve">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pPr>
        <w:pStyle w:val="0"/>
        <w:spacing w:before="200" w:line-rule="auto"/>
        <w:ind w:firstLine="540"/>
        <w:jc w:val="both"/>
      </w:pPr>
      <w:r>
        <w:rPr>
          <w:sz w:val="20"/>
        </w:rPr>
        <w:t xml:space="preserve">В случае если в соответствии с </w:t>
      </w:r>
      <w:hyperlink w:history="0" r:id="rId4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"е" пункта 1</w:t>
        </w:r>
      </w:hyperlink>
      <w:r>
        <w:rPr>
          <w:sz w:val="20"/>
        </w:rP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history="0" w:anchor="P292" w:tooltip="Информация">
        <w:r>
          <w:rPr>
            <w:sz w:val="20"/>
            <w:color w:val="0000ff"/>
          </w:rPr>
          <w:t xml:space="preserve">приложении N 2</w:t>
        </w:r>
      </w:hyperlink>
      <w:r>
        <w:rPr>
          <w:sz w:val="20"/>
        </w:rP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
    <w:p>
      <w:pPr>
        <w:pStyle w:val="0"/>
        <w:jc w:val="both"/>
      </w:pPr>
      <w:r>
        <w:rPr>
          <w:sz w:val="20"/>
        </w:rPr>
      </w:r>
    </w:p>
    <w:p>
      <w:pPr>
        <w:pStyle w:val="0"/>
        <w:ind w:firstLine="540"/>
        <w:jc w:val="both"/>
      </w:pPr>
      <w:r>
        <w:rPr>
          <w:sz w:val="20"/>
        </w:rPr>
        <w:t xml:space="preserve">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pPr>
        <w:pStyle w:val="0"/>
        <w:spacing w:before="200" w:line-rule="auto"/>
        <w:ind w:firstLine="540"/>
        <w:jc w:val="both"/>
      </w:pPr>
      <w:r>
        <w:rPr>
          <w:sz w:val="20"/>
        </w:rPr>
        <w:t xml:space="preserve">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pPr>
        <w:pStyle w:val="0"/>
        <w:jc w:val="both"/>
      </w:pPr>
      <w:r>
        <w:rPr>
          <w:sz w:val="20"/>
        </w:rPr>
      </w:r>
    </w:p>
    <w:p>
      <w:pPr>
        <w:pStyle w:val="2"/>
        <w:outlineLvl w:val="1"/>
        <w:jc w:val="center"/>
      </w:pPr>
      <w:r>
        <w:rPr>
          <w:sz w:val="20"/>
        </w:rPr>
        <w:t xml:space="preserve">III. Особенности соблюдения иных</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19. Какие особенности соблюдения иных антикоррупционных стандартов установлены </w:t>
      </w:r>
      <w:hyperlink w:history="0" r:id="rId4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w:t>
      </w:r>
    </w:p>
    <w:p>
      <w:pPr>
        <w:pStyle w:val="0"/>
        <w:spacing w:before="200" w:line-rule="auto"/>
        <w:ind w:firstLine="540"/>
        <w:jc w:val="both"/>
      </w:pPr>
      <w:r>
        <w:rPr>
          <w:sz w:val="20"/>
        </w:rPr>
        <w:t xml:space="preserve">В соответствии с </w:t>
      </w:r>
      <w:hyperlink w:history="0" r:id="rId4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"в" пункта 1</w:t>
        </w:r>
      </w:hyperlink>
      <w:r>
        <w:rPr>
          <w:sz w:val="20"/>
        </w:rP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
    <w:p>
      <w:pPr>
        <w:pStyle w:val="0"/>
        <w:spacing w:before="200" w:line-rule="auto"/>
        <w:ind w:firstLine="540"/>
        <w:jc w:val="both"/>
      </w:pPr>
      <w:r>
        <w:rPr>
          <w:sz w:val="20"/>
        </w:rPr>
        <w:t xml:space="preserve">Вместе с тем они должны принимать любые возможные меры, направленные на обеспечение соблюдения таких стандартов по существу.</w:t>
      </w:r>
    </w:p>
    <w:p>
      <w:pPr>
        <w:pStyle w:val="0"/>
        <w:spacing w:before="200" w:line-rule="auto"/>
        <w:ind w:firstLine="540"/>
        <w:jc w:val="both"/>
      </w:pPr>
      <w:r>
        <w:rPr>
          <w:sz w:val="20"/>
        </w:rP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w:history="0" r:id="rId45"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Указу</w:t>
        </w:r>
      </w:hyperlink>
      <w:r>
        <w:rPr>
          <w:sz w:val="20"/>
        </w:rP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pPr>
        <w:pStyle w:val="0"/>
        <w:jc w:val="both"/>
      </w:pPr>
      <w:r>
        <w:rPr>
          <w:sz w:val="20"/>
        </w:rPr>
      </w:r>
    </w:p>
    <w:p>
      <w:pPr>
        <w:pStyle w:val="0"/>
        <w:ind w:firstLine="540"/>
        <w:jc w:val="both"/>
      </w:pPr>
      <w:r>
        <w:rPr>
          <w:sz w:val="20"/>
        </w:rPr>
        <w:t xml:space="preserve">20. Какие изъятия из запрета на получение подарков в связи с исполнением служебных (должностных) обязанностей установлены </w:t>
      </w:r>
      <w:hyperlink w:history="0" r:id="rId4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w:t>
      </w:r>
    </w:p>
    <w:p>
      <w:pPr>
        <w:pStyle w:val="0"/>
        <w:spacing w:before="200" w:line-rule="auto"/>
        <w:ind w:firstLine="540"/>
        <w:jc w:val="both"/>
      </w:pPr>
      <w:r>
        <w:rPr>
          <w:sz w:val="20"/>
        </w:rPr>
        <w:t xml:space="preserve">В соответствии с </w:t>
      </w:r>
      <w:hyperlink w:history="0" r:id="rId4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"г" пункта 1</w:t>
        </w:r>
      </w:hyperlink>
      <w:r>
        <w:rPr>
          <w:sz w:val="20"/>
        </w:rP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
    <w:p>
      <w:pPr>
        <w:pStyle w:val="0"/>
        <w:spacing w:before="200" w:line-rule="auto"/>
        <w:ind w:firstLine="540"/>
        <w:jc w:val="both"/>
      </w:pPr>
      <w:r>
        <w:rPr>
          <w:sz w:val="20"/>
        </w:rPr>
        <w:t xml:space="preserve">Направление уведомлений о получении таких подарков не требуется.</w:t>
      </w:r>
    </w:p>
    <w:p>
      <w:pPr>
        <w:pStyle w:val="0"/>
        <w:jc w:val="both"/>
      </w:pPr>
      <w:r>
        <w:rPr>
          <w:sz w:val="20"/>
        </w:rPr>
      </w:r>
    </w:p>
    <w:p>
      <w:pPr>
        <w:pStyle w:val="2"/>
        <w:outlineLvl w:val="1"/>
        <w:jc w:val="center"/>
      </w:pPr>
      <w:r>
        <w:rPr>
          <w:sz w:val="20"/>
        </w:rPr>
        <w:t xml:space="preserve">IV. Особенности опубликования сведений в сети "Интернет"</w:t>
      </w:r>
    </w:p>
    <w:p>
      <w:pPr>
        <w:pStyle w:val="0"/>
        <w:jc w:val="both"/>
      </w:pPr>
      <w:r>
        <w:rPr>
          <w:sz w:val="20"/>
        </w:rPr>
      </w:r>
    </w:p>
    <w:p>
      <w:pPr>
        <w:pStyle w:val="0"/>
        <w:ind w:firstLine="540"/>
        <w:jc w:val="both"/>
      </w:pPr>
      <w:r>
        <w:rPr>
          <w:sz w:val="20"/>
        </w:rPr>
        <w:t xml:space="preserve">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pPr>
        <w:pStyle w:val="0"/>
        <w:spacing w:before="200" w:line-rule="auto"/>
        <w:ind w:firstLine="540"/>
        <w:jc w:val="both"/>
      </w:pPr>
      <w:r>
        <w:rPr>
          <w:sz w:val="20"/>
        </w:rPr>
        <w:t xml:space="preserve">В соответствии с </w:t>
      </w:r>
      <w:hyperlink w:history="0" r:id="rId4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"ж" пункта 1</w:t>
        </w:r>
      </w:hyperlink>
      <w:r>
        <w:rPr>
          <w:sz w:val="20"/>
        </w:rP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pPr>
        <w:pStyle w:val="0"/>
        <w:spacing w:before="200" w:line-rule="auto"/>
        <w:ind w:firstLine="540"/>
        <w:jc w:val="both"/>
      </w:pPr>
      <w:r>
        <w:rPr>
          <w:sz w:val="20"/>
        </w:rP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w:history="0" r:id="rId4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для последовательного перехода на официальный интернет-портал правовой информации (</w:t>
      </w:r>
      <w:hyperlink w:history="0" r:id="rId50">
        <w:r>
          <w:rPr>
            <w:sz w:val="20"/>
            <w:color w:val="0000ff"/>
          </w:rPr>
          <w:t xml:space="preserve">http://pravo.gov.ru/proxy/ips/?docbody=&amp;link_id=0&amp;nd=603637722</w:t>
        </w:r>
      </w:hyperlink>
      <w:r>
        <w:rPr>
          <w:sz w:val="20"/>
        </w:rPr>
        <w:t xml:space="preserve">).</w:t>
      </w:r>
    </w:p>
    <w:p>
      <w:pPr>
        <w:pStyle w:val="0"/>
        <w:jc w:val="both"/>
      </w:pPr>
      <w:r>
        <w:rPr>
          <w:sz w:val="20"/>
        </w:rPr>
      </w:r>
    </w:p>
    <w:p>
      <w:pPr>
        <w:pStyle w:val="0"/>
        <w:ind w:firstLine="540"/>
        <w:jc w:val="both"/>
      </w:pPr>
      <w:r>
        <w:rPr>
          <w:sz w:val="20"/>
        </w:rPr>
        <w:t xml:space="preserve">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pPr>
        <w:pStyle w:val="0"/>
        <w:spacing w:before="200" w:line-rule="auto"/>
        <w:ind w:firstLine="540"/>
        <w:jc w:val="both"/>
      </w:pPr>
      <w:r>
        <w:rPr>
          <w:sz w:val="20"/>
        </w:rP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w:history="0" r:id="rId5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Указу</w:t>
        </w:r>
      </w:hyperlink>
      <w:r>
        <w:rPr>
          <w:sz w:val="20"/>
        </w:rPr>
        <w:t xml:space="preserve">.</w:t>
      </w:r>
    </w:p>
    <w:p>
      <w:pPr>
        <w:pStyle w:val="0"/>
        <w:jc w:val="both"/>
      </w:pPr>
      <w:r>
        <w:rPr>
          <w:sz w:val="20"/>
        </w:rPr>
      </w:r>
    </w:p>
    <w:p>
      <w:pPr>
        <w:pStyle w:val="2"/>
        <w:outlineLvl w:val="1"/>
        <w:jc w:val="center"/>
      </w:pPr>
      <w:r>
        <w:rPr>
          <w:sz w:val="20"/>
        </w:rPr>
        <w:t xml:space="preserve">V. Иные вопросы</w:t>
      </w:r>
    </w:p>
    <w:p>
      <w:pPr>
        <w:pStyle w:val="0"/>
        <w:jc w:val="both"/>
      </w:pPr>
      <w:r>
        <w:rPr>
          <w:sz w:val="20"/>
        </w:rPr>
      </w:r>
    </w:p>
    <w:p>
      <w:pPr>
        <w:pStyle w:val="0"/>
        <w:ind w:firstLine="540"/>
        <w:jc w:val="both"/>
      </w:pPr>
      <w:r>
        <w:rPr>
          <w:sz w:val="20"/>
        </w:rPr>
        <w:t xml:space="preserve">23. Требуются ли в связи с </w:t>
      </w:r>
      <w:hyperlink w:history="0" r:id="rId5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подготовка и принятие органами публичной власти и организациями каких-либо дополнительных нормативных правовых и иных актов?</w:t>
      </w:r>
    </w:p>
    <w:p>
      <w:pPr>
        <w:pStyle w:val="0"/>
        <w:spacing w:before="200" w:line-rule="auto"/>
        <w:ind w:firstLine="540"/>
        <w:jc w:val="both"/>
      </w:pPr>
      <w:r>
        <w:rPr>
          <w:sz w:val="20"/>
        </w:rPr>
        <w:t xml:space="preserve">Указ не требует подготовки и принятия каких-либо нормативных правовых и (или) иных актов.</w:t>
      </w:r>
    </w:p>
    <w:p>
      <w:pPr>
        <w:pStyle w:val="0"/>
        <w:jc w:val="both"/>
      </w:pPr>
      <w:r>
        <w:rPr>
          <w:sz w:val="20"/>
        </w:rPr>
      </w:r>
    </w:p>
    <w:p>
      <w:pPr>
        <w:pStyle w:val="0"/>
        <w:ind w:firstLine="540"/>
        <w:jc w:val="both"/>
      </w:pPr>
      <w:r>
        <w:rPr>
          <w:sz w:val="20"/>
        </w:rPr>
        <w:t xml:space="preserve">24. Как соотносятся нормы </w:t>
      </w:r>
      <w:hyperlink w:history="0" r:id="rId5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и </w:t>
      </w:r>
      <w:hyperlink w:history="0" r:id="rId54"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hyperlink w:history="0" r:id="rId55"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Указом</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устанавливаются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pPr>
        <w:pStyle w:val="0"/>
        <w:spacing w:before="200" w:line-rule="auto"/>
        <w:ind w:firstLine="540"/>
        <w:jc w:val="both"/>
      </w:pPr>
      <w:r>
        <w:rPr>
          <w:sz w:val="20"/>
        </w:rPr>
        <w:t xml:space="preserve">В отличие от него </w:t>
      </w:r>
      <w:hyperlink w:history="0" r:id="rId5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both"/>
      </w:pPr>
      <w:r>
        <w:rPr>
          <w:sz w:val="20"/>
        </w:rPr>
      </w:r>
    </w:p>
    <w:tbl>
      <w:tblPr>
        <w:tblInd w:w="0" w:type="dxa"/>
        <w:tblLayout w:type="fixed"/>
        <w:tblCellMar>
          <w:top w:w="102" w:type="dxa"/>
          <w:left w:w="62" w:type="dxa"/>
          <w:bottom w:w="102" w:type="dxa"/>
          <w:right w:w="62" w:type="dxa"/>
        </w:tblCellMar>
      </w:tblPr>
      <w:tblGrid>
        <w:gridCol w:w="1077"/>
        <w:gridCol w:w="340"/>
        <w:gridCol w:w="1173"/>
        <w:gridCol w:w="358"/>
        <w:gridCol w:w="2760"/>
        <w:gridCol w:w="659"/>
        <w:gridCol w:w="2695"/>
      </w:tblGrid>
      <w:tr>
        <w:tc>
          <w:tcPr>
            <w:gridSpan w:val="7"/>
            <w:tcW w:w="9062" w:type="dxa"/>
            <w:tcBorders>
              <w:top w:val="nil"/>
              <w:left w:val="nil"/>
              <w:bottom w:val="nil"/>
              <w:right w:val="nil"/>
            </w:tcBorders>
          </w:tcPr>
          <w:bookmarkStart w:id="219" w:name="P219"/>
          <w:bookmarkEnd w:id="219"/>
          <w:p>
            <w:pPr>
              <w:pStyle w:val="0"/>
              <w:jc w:val="center"/>
            </w:pPr>
            <w:r>
              <w:rPr>
                <w:sz w:val="20"/>
              </w:rPr>
              <w:t xml:space="preserve">Информация</w:t>
            </w:r>
          </w:p>
          <w:p>
            <w:pPr>
              <w:pStyle w:val="0"/>
              <w:jc w:val="center"/>
            </w:pPr>
            <w:r>
              <w:rPr>
                <w:sz w:val="20"/>
              </w:rPr>
              <w:t xml:space="preserve">о наличии оснований для непредставления сведений о доходах, расходах, об имуществе и обязательствах имущественного характера</w:t>
            </w:r>
          </w:p>
        </w:tc>
      </w:tr>
      <w:tr>
        <w:tc>
          <w:tcPr>
            <w:gridSpan w:val="7"/>
            <w:tcW w:w="9062" w:type="dxa"/>
            <w:tcBorders>
              <w:top w:val="nil"/>
              <w:left w:val="nil"/>
              <w:bottom w:val="nil"/>
              <w:right w:val="nil"/>
            </w:tcBorders>
          </w:tcPr>
          <w:p>
            <w:pPr>
              <w:pStyle w:val="0"/>
            </w:pPr>
            <w:r>
              <w:rPr>
                <w:sz w:val="20"/>
              </w:rPr>
            </w:r>
          </w:p>
        </w:tc>
      </w:tr>
      <w:tr>
        <w:tc>
          <w:tcPr>
            <w:gridSpan w:val="7"/>
            <w:tcW w:w="9062" w:type="dxa"/>
            <w:tcBorders>
              <w:top w:val="nil"/>
              <w:left w:val="nil"/>
              <w:bottom w:val="nil"/>
              <w:right w:val="nil"/>
            </w:tcBorders>
          </w:tcPr>
          <w:p>
            <w:pPr>
              <w:pStyle w:val="0"/>
              <w:ind w:firstLine="283"/>
              <w:jc w:val="both"/>
            </w:pPr>
            <w:r>
              <w:rPr>
                <w:sz w:val="20"/>
              </w:rPr>
              <w:t xml:space="preserve">Сведения о доходах, расходах, об имуществе и обязательствах имущественного характера не представляются в отношении:</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3"/>
            <w:tcW w:w="2590" w:type="dxa"/>
            <w:tcBorders>
              <w:top w:val="nil"/>
              <w:left w:val="nil"/>
              <w:bottom w:val="nil"/>
              <w:right w:val="nil"/>
            </w:tcBorders>
          </w:tcPr>
          <w:p>
            <w:pPr>
              <w:pStyle w:val="0"/>
              <w:jc w:val="both"/>
            </w:pPr>
            <w:r>
              <w:rPr>
                <w:sz w:val="20"/>
              </w:rPr>
              <w:t xml:space="preserve">"__" _________ ____ г.р.</w:t>
            </w:r>
          </w:p>
          <w:p>
            <w:pPr>
              <w:pStyle w:val="0"/>
              <w:jc w:val="center"/>
            </w:pPr>
            <w:r>
              <w:rPr>
                <w:sz w:val="20"/>
              </w:rPr>
              <w:t xml:space="preserve">(дата рождения)</w:t>
            </w:r>
          </w:p>
        </w:tc>
        <w:tc>
          <w:tcPr>
            <w:gridSpan w:val="4"/>
            <w:tcW w:w="6472" w:type="dxa"/>
            <w:tcBorders>
              <w:top w:val="nil"/>
              <w:left w:val="nil"/>
              <w:bottom w:val="nil"/>
              <w:right w:val="nil"/>
            </w:tcBorders>
          </w:tcPr>
          <w:p>
            <w:pPr>
              <w:pStyle w:val="0"/>
            </w:pPr>
            <w:r>
              <w:rPr>
                <w:sz w:val="20"/>
              </w:rPr>
            </w:r>
          </w:p>
        </w:tc>
      </w:tr>
      <w:tr>
        <w:tc>
          <w:tcPr>
            <w:tcW w:w="1077" w:type="dxa"/>
            <w:vAlign w:val="bottom"/>
            <w:tcBorders>
              <w:top w:val="nil"/>
              <w:left w:val="nil"/>
              <w:bottom w:val="nil"/>
              <w:right w:val="nil"/>
            </w:tcBorders>
          </w:tcPr>
          <w:p>
            <w:pPr>
              <w:pStyle w:val="0"/>
              <w:jc w:val="both"/>
            </w:pPr>
            <w:r>
              <w:rPr>
                <w:sz w:val="20"/>
              </w:rPr>
              <w:t xml:space="preserve">Паспорт:</w:t>
            </w:r>
          </w:p>
        </w:tc>
        <w:tc>
          <w:tcPr>
            <w:gridSpan w:val="4"/>
            <w:tcW w:w="4631" w:type="dxa"/>
            <w:tcBorders>
              <w:top w:val="nil"/>
              <w:left w:val="nil"/>
              <w:bottom w:val="single" w:sz="4"/>
              <w:right w:val="nil"/>
            </w:tcBorders>
          </w:tcPr>
          <w:p>
            <w:pPr>
              <w:pStyle w:val="0"/>
            </w:pPr>
            <w:r>
              <w:rPr>
                <w:sz w:val="20"/>
              </w:rPr>
            </w:r>
          </w:p>
        </w:tc>
        <w:tc>
          <w:tcPr>
            <w:gridSpan w:val="2"/>
            <w:tcW w:w="3354" w:type="dxa"/>
            <w:vAlign w:val="bottom"/>
            <w:tcBorders>
              <w:top w:val="nil"/>
              <w:left w:val="nil"/>
              <w:bottom w:val="nil"/>
              <w:right w:val="nil"/>
            </w:tcBorders>
          </w:tcPr>
          <w:p>
            <w:pPr>
              <w:pStyle w:val="0"/>
              <w:jc w:val="both"/>
            </w:pPr>
            <w:r>
              <w:rPr>
                <w:sz w:val="20"/>
              </w:rPr>
              <w:t xml:space="preserve">выдан: "__" __________ ____ г.</w:t>
            </w:r>
          </w:p>
        </w:tc>
      </w:tr>
      <w:tr>
        <w:tc>
          <w:tcPr>
            <w:tcW w:w="1077" w:type="dxa"/>
            <w:tcBorders>
              <w:top w:val="nil"/>
              <w:left w:val="nil"/>
              <w:bottom w:val="nil"/>
              <w:right w:val="nil"/>
            </w:tcBorders>
          </w:tcPr>
          <w:p>
            <w:pPr>
              <w:pStyle w:val="0"/>
            </w:pPr>
            <w:r>
              <w:rPr>
                <w:sz w:val="20"/>
              </w:rPr>
            </w:r>
          </w:p>
        </w:tc>
        <w:tc>
          <w:tcPr>
            <w:gridSpan w:val="4"/>
            <w:tcW w:w="4631" w:type="dxa"/>
            <w:tcBorders>
              <w:top w:val="single" w:sz="4"/>
              <w:left w:val="nil"/>
              <w:bottom w:val="nil"/>
              <w:right w:val="nil"/>
            </w:tcBorders>
          </w:tcPr>
          <w:p>
            <w:pPr>
              <w:pStyle w:val="0"/>
              <w:jc w:val="center"/>
            </w:pPr>
            <w:r>
              <w:rPr>
                <w:sz w:val="20"/>
              </w:rPr>
              <w:t xml:space="preserve">(серия, номер)</w:t>
            </w:r>
          </w:p>
        </w:tc>
        <w:tc>
          <w:tcPr>
            <w:gridSpan w:val="2"/>
            <w:tcW w:w="3354" w:type="dxa"/>
            <w:tcBorders>
              <w:top w:val="nil"/>
              <w:left w:val="nil"/>
              <w:bottom w:val="nil"/>
              <w:right w:val="nil"/>
            </w:tcBorders>
          </w:tcPr>
          <w:p>
            <w:pPr>
              <w:pStyle w:val="0"/>
              <w:jc w:val="center"/>
            </w:pPr>
            <w:r>
              <w:rPr>
                <w:sz w:val="20"/>
              </w:rPr>
              <w:t xml:space="preserve">(дата выдачи)</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(кем выдан)</w:t>
            </w:r>
          </w:p>
        </w:tc>
      </w:tr>
      <w:tr>
        <w:tc>
          <w:tcPr>
            <w:tcW w:w="1077" w:type="dxa"/>
            <w:vAlign w:val="bottom"/>
            <w:tcBorders>
              <w:top w:val="nil"/>
              <w:left w:val="nil"/>
              <w:bottom w:val="nil"/>
              <w:right w:val="nil"/>
            </w:tcBorders>
          </w:tcPr>
          <w:p>
            <w:pPr>
              <w:pStyle w:val="0"/>
              <w:jc w:val="both"/>
            </w:pPr>
            <w:r>
              <w:rPr>
                <w:sz w:val="20"/>
              </w:rPr>
              <w:t xml:space="preserve">СНИЛС:</w:t>
            </w:r>
          </w:p>
        </w:tc>
        <w:tc>
          <w:tcPr>
            <w:gridSpan w:val="6"/>
            <w:tcW w:w="7985" w:type="dxa"/>
            <w:vAlign w:val="bottom"/>
            <w:tcBorders>
              <w:top w:val="nil"/>
              <w:left w:val="nil"/>
              <w:bottom w:val="single" w:sz="4"/>
              <w:right w:val="nil"/>
            </w:tcBorders>
          </w:tcPr>
          <w:p>
            <w:pPr>
              <w:pStyle w:val="0"/>
            </w:pPr>
            <w:r>
              <w:rPr>
                <w:sz w:val="20"/>
              </w:rPr>
            </w:r>
          </w:p>
        </w:tc>
      </w:tr>
      <w:tr>
        <w:tc>
          <w:tcPr>
            <w:gridSpan w:val="3"/>
            <w:tcW w:w="2590" w:type="dxa"/>
            <w:vAlign w:val="bottom"/>
            <w:tcBorders>
              <w:top w:val="nil"/>
              <w:left w:val="nil"/>
              <w:bottom w:val="nil"/>
              <w:right w:val="nil"/>
            </w:tcBorders>
          </w:tcPr>
          <w:p>
            <w:pPr>
              <w:pStyle w:val="0"/>
              <w:jc w:val="both"/>
            </w:pPr>
            <w:r>
              <w:rPr>
                <w:sz w:val="20"/>
              </w:rPr>
              <w:t xml:space="preserve">Место регистрации:</w:t>
            </w:r>
          </w:p>
        </w:tc>
        <w:tc>
          <w:tcPr>
            <w:gridSpan w:val="4"/>
            <w:tcW w:w="6472" w:type="dxa"/>
            <w:tcBorders>
              <w:top w:val="single" w:sz="4"/>
              <w:left w:val="nil"/>
              <w:bottom w:val="single" w:sz="4"/>
              <w:right w:val="nil"/>
            </w:tcBorders>
          </w:tcPr>
          <w:p>
            <w:pPr>
              <w:pStyle w:val="0"/>
            </w:pPr>
            <w:r>
              <w:rPr>
                <w:sz w:val="20"/>
              </w:rPr>
            </w:r>
          </w:p>
        </w:tc>
      </w:tr>
      <w:tr>
        <w:tc>
          <w:tcPr>
            <w:gridSpan w:val="7"/>
            <w:tcW w:w="9062" w:type="dxa"/>
            <w:tcBorders>
              <w:top w:val="nil"/>
              <w:left w:val="nil"/>
              <w:bottom w:val="single" w:sz="4"/>
              <w:right w:val="nil"/>
            </w:tcBorders>
          </w:tcPr>
          <w:p>
            <w:pPr>
              <w:pStyle w:val="0"/>
            </w:pPr>
            <w:r>
              <w:rPr>
                <w:sz w:val="20"/>
              </w:rPr>
            </w:r>
          </w:p>
        </w:tc>
      </w:tr>
      <w:tr>
        <w:tblPrEx>
          <w:tblBorders>
            <w:insideH w:val="single" w:sz="4"/>
          </w:tblBorders>
        </w:tblPrEx>
        <w:tc>
          <w:tcPr>
            <w:gridSpan w:val="6"/>
            <w:tcW w:w="6367" w:type="dxa"/>
            <w:vAlign w:val="bottom"/>
            <w:tcBorders>
              <w:top w:val="single" w:sz="4"/>
              <w:left w:val="nil"/>
              <w:bottom w:val="nil"/>
              <w:right w:val="nil"/>
            </w:tcBorders>
          </w:tcPr>
          <w:p>
            <w:pPr>
              <w:pStyle w:val="0"/>
              <w:jc w:val="both"/>
            </w:pPr>
            <w:r>
              <w:rPr>
                <w:sz w:val="20"/>
              </w:rPr>
              <w:t xml:space="preserve">Место работы (службы)/род занятий (нужное подчеркнуть):</w:t>
            </w:r>
          </w:p>
        </w:tc>
        <w:tc>
          <w:tcPr>
            <w:tcW w:w="2695" w:type="dxa"/>
            <w:tcBorders>
              <w:top w:val="single" w:sz="4"/>
              <w:left w:val="nil"/>
              <w:bottom w:val="single" w:sz="4"/>
              <w:right w:val="nil"/>
            </w:tcBorders>
          </w:tcPr>
          <w:p>
            <w:pPr>
              <w:pStyle w:val="0"/>
            </w:pPr>
            <w:r>
              <w:rPr>
                <w:sz w:val="20"/>
              </w:rPr>
            </w:r>
          </w:p>
        </w:tc>
      </w:tr>
      <w:tr>
        <w:tc>
          <w:tcPr>
            <w:gridSpan w:val="7"/>
            <w:tcW w:w="9062" w:type="dxa"/>
            <w:tcBorders>
              <w:top w:val="nil"/>
              <w:left w:val="nil"/>
              <w:bottom w:val="single" w:sz="4"/>
              <w:right w:val="nil"/>
            </w:tcBorders>
          </w:tcPr>
          <w:p>
            <w:pPr>
              <w:pStyle w:val="0"/>
            </w:pPr>
            <w:r>
              <w:rPr>
                <w:sz w:val="20"/>
              </w:rPr>
            </w:r>
          </w:p>
        </w:tc>
      </w:tr>
      <w:tr>
        <w:tblPrEx>
          <w:tblBorders>
            <w:insideH w:val="single" w:sz="4"/>
          </w:tblBorders>
        </w:tblPrEx>
        <w:tc>
          <w:tcPr>
            <w:gridSpan w:val="7"/>
            <w:tcW w:w="9062" w:type="dxa"/>
            <w:tcBorders>
              <w:top w:val="single" w:sz="4"/>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ind w:firstLine="283"/>
              <w:jc w:val="both"/>
            </w:pPr>
            <w:r>
              <w:rPr>
                <w:sz w:val="20"/>
              </w:rPr>
              <w:t xml:space="preserve">Также сведения о доходах, расходах, об имуществе и обязательствах имущественного характера не представляются в отношении супруги / супруга (нужное подчеркнуть):</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4"/>
            <w:tcW w:w="2948" w:type="dxa"/>
            <w:tcBorders>
              <w:top w:val="nil"/>
              <w:left w:val="nil"/>
              <w:bottom w:val="nil"/>
              <w:right w:val="nil"/>
            </w:tcBorders>
          </w:tcPr>
          <w:p>
            <w:pPr>
              <w:pStyle w:val="0"/>
              <w:jc w:val="both"/>
            </w:pPr>
            <w:r>
              <w:rPr>
                <w:sz w:val="20"/>
              </w:rPr>
              <w:t xml:space="preserve">"__" ____________ ____ г.р.</w:t>
            </w:r>
          </w:p>
          <w:p>
            <w:pPr>
              <w:pStyle w:val="0"/>
              <w:jc w:val="center"/>
            </w:pPr>
            <w:r>
              <w:rPr>
                <w:sz w:val="20"/>
              </w:rPr>
              <w:t xml:space="preserve">(дата рождения)</w:t>
            </w:r>
          </w:p>
        </w:tc>
        <w:tc>
          <w:tcPr>
            <w:gridSpan w:val="3"/>
            <w:tcW w:w="6114" w:type="dxa"/>
            <w:tcBorders>
              <w:top w:val="nil"/>
              <w:left w:val="nil"/>
              <w:bottom w:val="nil"/>
              <w:right w:val="nil"/>
            </w:tcBorders>
          </w:tcPr>
          <w:p>
            <w:pPr>
              <w:pStyle w:val="0"/>
            </w:pPr>
            <w:r>
              <w:rPr>
                <w:sz w:val="20"/>
              </w:rPr>
            </w:r>
          </w:p>
        </w:tc>
      </w:tr>
      <w:tr>
        <w:tc>
          <w:tcPr>
            <w:gridSpan w:val="7"/>
            <w:tcW w:w="9062" w:type="dxa"/>
            <w:tcBorders>
              <w:top w:val="nil"/>
              <w:left w:val="nil"/>
              <w:bottom w:val="nil"/>
              <w:right w:val="nil"/>
            </w:tcBorders>
          </w:tcPr>
          <w:p>
            <w:pPr>
              <w:pStyle w:val="0"/>
              <w:ind w:firstLine="283"/>
              <w:jc w:val="both"/>
            </w:pPr>
            <w:r>
              <w:rPr>
                <w:sz w:val="20"/>
              </w:rPr>
              <w:t xml:space="preserve">Также сведения о доходах, расходах, об имуществе и обязательствах имущественного не представляются в отношении несовершеннолетнего ребенка:</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4"/>
            <w:tcW w:w="2948" w:type="dxa"/>
            <w:tcBorders>
              <w:top w:val="nil"/>
              <w:left w:val="nil"/>
              <w:bottom w:val="nil"/>
              <w:right w:val="nil"/>
            </w:tcBorders>
          </w:tcPr>
          <w:p>
            <w:pPr>
              <w:pStyle w:val="0"/>
              <w:jc w:val="both"/>
            </w:pPr>
            <w:r>
              <w:rPr>
                <w:sz w:val="20"/>
              </w:rPr>
              <w:t xml:space="preserve">"__" ____________ ____ г.р.</w:t>
            </w:r>
          </w:p>
          <w:p>
            <w:pPr>
              <w:pStyle w:val="0"/>
              <w:jc w:val="center"/>
            </w:pPr>
            <w:r>
              <w:rPr>
                <w:sz w:val="20"/>
              </w:rPr>
              <w:t xml:space="preserve">(дата рождения)</w:t>
            </w:r>
          </w:p>
        </w:tc>
        <w:tc>
          <w:tcPr>
            <w:gridSpan w:val="3"/>
            <w:tcW w:w="6114" w:type="dxa"/>
            <w:tcBorders>
              <w:top w:val="nil"/>
              <w:left w:val="nil"/>
              <w:bottom w:val="nil"/>
              <w:right w:val="nil"/>
            </w:tcBorders>
          </w:tcPr>
          <w:p>
            <w:pPr>
              <w:pStyle w:val="0"/>
            </w:pPr>
            <w:r>
              <w:rPr>
                <w:sz w:val="20"/>
              </w:rPr>
            </w:r>
          </w:p>
        </w:tc>
      </w:tr>
      <w:tr>
        <w:tc>
          <w:tcPr>
            <w:gridSpan w:val="2"/>
            <w:tcW w:w="1417" w:type="dxa"/>
            <w:vAlign w:val="bottom"/>
            <w:tcBorders>
              <w:top w:val="nil"/>
              <w:left w:val="nil"/>
              <w:bottom w:val="nil"/>
              <w:right w:val="nil"/>
            </w:tcBorders>
          </w:tcPr>
          <w:p>
            <w:pPr>
              <w:pStyle w:val="0"/>
              <w:jc w:val="both"/>
            </w:pPr>
            <w:r>
              <w:rPr>
                <w:sz w:val="20"/>
              </w:rPr>
              <w:t xml:space="preserve">Поскольку</w:t>
            </w:r>
          </w:p>
        </w:tc>
        <w:tc>
          <w:tcPr>
            <w:gridSpan w:val="5"/>
            <w:tcW w:w="7645" w:type="dxa"/>
            <w:vAlign w:val="bottom"/>
            <w:tcBorders>
              <w:top w:val="nil"/>
              <w:left w:val="nil"/>
              <w:bottom w:val="single" w:sz="4"/>
              <w:right w:val="nil"/>
            </w:tcBorders>
          </w:tcPr>
          <w:p>
            <w:pPr>
              <w:pStyle w:val="0"/>
              <w:jc w:val="right"/>
            </w:pPr>
            <w:r>
              <w:rPr>
                <w:sz w:val="20"/>
              </w:rPr>
              <w:t xml:space="preserve">:</w:t>
            </w:r>
          </w:p>
        </w:tc>
      </w:tr>
      <w:tr>
        <w:tc>
          <w:tcPr>
            <w:gridSpan w:val="2"/>
            <w:tcW w:w="1417" w:type="dxa"/>
            <w:tcBorders>
              <w:top w:val="nil"/>
              <w:left w:val="nil"/>
              <w:bottom w:val="nil"/>
              <w:right w:val="nil"/>
            </w:tcBorders>
          </w:tcPr>
          <w:p>
            <w:pPr>
              <w:pStyle w:val="0"/>
            </w:pPr>
            <w:r>
              <w:rPr>
                <w:sz w:val="20"/>
              </w:rPr>
            </w:r>
          </w:p>
        </w:tc>
        <w:tc>
          <w:tcPr>
            <w:gridSpan w:val="5"/>
            <w:tcW w:w="7645"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7"/>
            <w:tcW w:w="9062" w:type="dxa"/>
            <w:tcBorders>
              <w:top w:val="nil"/>
              <w:left w:val="nil"/>
              <w:bottom w:val="nil"/>
              <w:right w:val="nil"/>
            </w:tcBorders>
          </w:tcPr>
          <w:p>
            <w:pPr>
              <w:pStyle w:val="0"/>
            </w:pPr>
            <w:r>
              <w:rPr>
                <w:sz w:val="20"/>
              </w:rPr>
            </w:r>
          </w:p>
        </w:tc>
      </w:tr>
      <w:tr>
        <w:tc>
          <w:tcPr>
            <w:tcW w:w="1077" w:type="dxa"/>
            <w:vAlign w:val="center"/>
            <w:tcBorders>
              <w:top w:val="nil"/>
              <w:left w:val="nil"/>
              <w:bottom w:val="nil"/>
              <w:right w:val="nil"/>
            </w:tcBorders>
            <w:vMerge w:val="restart"/>
          </w:tcPr>
          <w:p>
            <w:pPr>
              <w:pStyle w:val="0"/>
              <w:jc w:val="center"/>
            </w:pPr>
            <w:r>
              <w:rPr>
                <w:sz w:val="20"/>
              </w:rPr>
              <w:t xml:space="preserve">(нужное выделить)</w:t>
            </w:r>
          </w:p>
        </w:tc>
        <w:tc>
          <w:tcPr>
            <w:tcW w:w="340" w:type="dxa"/>
            <w:tcBorders>
              <w:top w:val="single" w:sz="4"/>
              <w:left w:val="single" w:sz="4"/>
              <w:bottom w:val="single" w:sz="4"/>
              <w:right w:val="single" w:sz="4"/>
            </w:tcBorders>
          </w:tcPr>
          <w:p>
            <w:pPr>
              <w:pStyle w:val="0"/>
            </w:pPr>
            <w:r>
              <w:rPr>
                <w:sz w:val="20"/>
              </w:rPr>
            </w:r>
          </w:p>
        </w:tc>
        <w:tc>
          <w:tcPr>
            <w:gridSpan w:val="5"/>
            <w:tcW w:w="7645" w:type="dxa"/>
            <w:tcBorders>
              <w:top w:val="nil"/>
              <w:left w:val="nil"/>
              <w:bottom w:val="nil"/>
              <w:right w:val="nil"/>
            </w:tcBorders>
            <w:vMerge w:val="restart"/>
          </w:tcPr>
          <w:p>
            <w:pPr>
              <w:pStyle w:val="0"/>
              <w:jc w:val="both"/>
            </w:pPr>
            <w:r>
              <w:rPr>
                <w:sz w:val="20"/>
              </w:rPr>
              <w:t xml:space="preserve">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tblPrEx>
          <w:tblBorders>
            <w:insideH w:val="single" w:sz="4"/>
          </w:tblBorders>
        </w:tblPrEx>
        <w:tc>
          <w:tcPr>
            <w:tcBorders>
              <w:top w:val="nil"/>
              <w:left w:val="nil"/>
              <w:bottom w:val="nil"/>
              <w:right w:val="nil"/>
            </w:tcBorders>
            <w:vMerge w:val="continue"/>
          </w:tcPr>
          <w:p/>
        </w:tc>
        <w:tc>
          <w:tcPr>
            <w:tcW w:w="340" w:type="dxa"/>
            <w:tcBorders>
              <w:top w:val="single" w:sz="4"/>
              <w:left w:val="nil"/>
              <w:bottom w:val="single" w:sz="4"/>
              <w:right w:val="nil"/>
            </w:tcBorders>
          </w:tcPr>
          <w:p>
            <w:pPr>
              <w:pStyle w:val="0"/>
            </w:pPr>
            <w:r>
              <w:rPr>
                <w:sz w:val="20"/>
              </w:rPr>
            </w:r>
          </w:p>
        </w:tc>
        <w:tc>
          <w:tcPr>
            <w:gridSpan w:val="5"/>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40" w:type="dxa"/>
            <w:tcBorders>
              <w:top w:val="single" w:sz="4"/>
              <w:left w:val="single" w:sz="4"/>
              <w:bottom w:val="single" w:sz="4"/>
              <w:right w:val="single" w:sz="4"/>
            </w:tcBorders>
          </w:tcPr>
          <w:p>
            <w:pPr>
              <w:pStyle w:val="0"/>
            </w:pPr>
            <w:r>
              <w:rPr>
                <w:sz w:val="20"/>
              </w:rPr>
            </w:r>
          </w:p>
        </w:tc>
        <w:tc>
          <w:tcPr>
            <w:gridSpan w:val="5"/>
            <w:tcW w:w="7645" w:type="dxa"/>
            <w:tcBorders>
              <w:top w:val="nil"/>
              <w:left w:val="nil"/>
              <w:bottom w:val="nil"/>
              <w:right w:val="nil"/>
            </w:tcBorders>
            <w:vMerge w:val="restart"/>
          </w:tcPr>
          <w:p>
            <w:pPr>
              <w:pStyle w:val="0"/>
              <w:jc w:val="both"/>
            </w:pPr>
            <w:r>
              <w:rPr>
                <w:sz w:val="20"/>
              </w:rPr>
              <w:t xml:space="preserve">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tblPrEx>
          <w:tblBorders>
            <w:insideH w:val="single" w:sz="4"/>
          </w:tblBorders>
        </w:tblPrEx>
        <w:tc>
          <w:tcPr>
            <w:tcBorders>
              <w:top w:val="nil"/>
              <w:left w:val="nil"/>
              <w:bottom w:val="nil"/>
              <w:right w:val="nil"/>
            </w:tcBorders>
            <w:vMerge w:val="continue"/>
          </w:tcPr>
          <w:p/>
        </w:tc>
        <w:tc>
          <w:tcPr>
            <w:tcW w:w="340" w:type="dxa"/>
            <w:tcBorders>
              <w:top w:val="single" w:sz="4"/>
              <w:left w:val="nil"/>
              <w:bottom w:val="nil"/>
              <w:right w:val="nil"/>
            </w:tcBorders>
          </w:tcPr>
          <w:p>
            <w:pPr>
              <w:pStyle w:val="0"/>
            </w:pPr>
            <w:r>
              <w:rPr>
                <w:sz w:val="20"/>
              </w:rPr>
            </w:r>
          </w:p>
        </w:tc>
        <w:tc>
          <w:tcPr>
            <w:gridSpan w:val="5"/>
            <w:tcBorders>
              <w:top w:val="nil"/>
              <w:left w:val="nil"/>
              <w:bottom w:val="nil"/>
              <w:right w:val="nil"/>
            </w:tcBorders>
            <w:vMerge w:val="continue"/>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175"/>
        <w:gridCol w:w="5896"/>
      </w:tblGrid>
      <w:tr>
        <w:tc>
          <w:tcPr>
            <w:tcW w:w="3175" w:type="dxa"/>
            <w:vAlign w:val="bottom"/>
            <w:tcBorders>
              <w:top w:val="nil"/>
              <w:left w:val="nil"/>
              <w:bottom w:val="nil"/>
              <w:right w:val="nil"/>
            </w:tcBorders>
          </w:tcPr>
          <w:p>
            <w:pPr>
              <w:pStyle w:val="0"/>
            </w:pPr>
            <w:r>
              <w:rPr>
                <w:sz w:val="20"/>
              </w:rPr>
              <w:t xml:space="preserve">Приложение (при наличии):</w:t>
            </w:r>
          </w:p>
        </w:tc>
        <w:tc>
          <w:tcPr>
            <w:tcW w:w="5896" w:type="dxa"/>
            <w:tcBorders>
              <w:top w:val="nil"/>
              <w:left w:val="nil"/>
              <w:bottom w:val="single" w:sz="4"/>
              <w:right w:val="nil"/>
            </w:tcBorders>
          </w:tcPr>
          <w:p>
            <w:pPr>
              <w:pStyle w:val="0"/>
            </w:pPr>
            <w:r>
              <w:rPr>
                <w:sz w:val="20"/>
              </w:rPr>
            </w:r>
          </w:p>
        </w:tc>
      </w:tr>
      <w:tr>
        <w:tc>
          <w:tcPr>
            <w:tcW w:w="3175" w:type="dxa"/>
            <w:tcBorders>
              <w:top w:val="nil"/>
              <w:left w:val="nil"/>
              <w:bottom w:val="nil"/>
              <w:right w:val="nil"/>
            </w:tcBorders>
          </w:tcPr>
          <w:p>
            <w:pPr>
              <w:pStyle w:val="0"/>
            </w:pPr>
            <w:r>
              <w:rPr>
                <w:sz w:val="20"/>
              </w:rPr>
            </w:r>
          </w:p>
        </w:tc>
        <w:tc>
          <w:tcPr>
            <w:tcW w:w="5896" w:type="dxa"/>
            <w:tcBorders>
              <w:top w:val="single" w:sz="4"/>
              <w:left w:val="nil"/>
              <w:bottom w:val="nil"/>
              <w:right w:val="nil"/>
            </w:tcBorders>
          </w:tcPr>
          <w:p>
            <w:pPr>
              <w:pStyle w:val="0"/>
              <w:jc w:val="center"/>
            </w:pPr>
            <w:r>
              <w:rPr>
                <w:sz w:val="20"/>
              </w:rPr>
              <w:t xml:space="preserve">(документы (копии), подтверждающие обстоятельства)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397"/>
        <w:gridCol w:w="2268"/>
        <w:gridCol w:w="425"/>
        <w:gridCol w:w="3288"/>
      </w:tblGrid>
      <w:tr>
        <w:tc>
          <w:tcPr>
            <w:tcW w:w="2665" w:type="dxa"/>
            <w:vAlign w:val="bottom"/>
            <w:tcBorders>
              <w:top w:val="nil"/>
              <w:left w:val="nil"/>
              <w:bottom w:val="nil"/>
              <w:right w:val="nil"/>
            </w:tcBorders>
          </w:tcPr>
          <w:p>
            <w:pPr>
              <w:pStyle w:val="0"/>
              <w:jc w:val="both"/>
            </w:pPr>
            <w:r>
              <w:rPr>
                <w:sz w:val="20"/>
              </w:rPr>
              <w:t xml:space="preserve">"__" __________ ____ г.</w:t>
            </w:r>
          </w:p>
        </w:tc>
        <w:tc>
          <w:tcPr>
            <w:tcW w:w="397" w:type="dxa"/>
            <w:tcBorders>
              <w:top w:val="nil"/>
              <w:left w:val="nil"/>
              <w:bottom w:val="nil"/>
              <w:right w:val="nil"/>
            </w:tcBorders>
          </w:tcPr>
          <w:p>
            <w:pPr>
              <w:pStyle w:val="0"/>
            </w:pPr>
            <w:r>
              <w:rPr>
                <w:sz w:val="20"/>
              </w:rPr>
            </w:r>
          </w:p>
        </w:tc>
        <w:tc>
          <w:tcPr>
            <w:tcW w:w="2268"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3288" w:type="dxa"/>
            <w:tcBorders>
              <w:top w:val="nil"/>
              <w:left w:val="nil"/>
              <w:bottom w:val="single" w:sz="4"/>
              <w:right w:val="nil"/>
            </w:tcBorders>
          </w:tcPr>
          <w:p>
            <w:pPr>
              <w:pStyle w:val="0"/>
            </w:pPr>
            <w:r>
              <w:rPr>
                <w:sz w:val="20"/>
              </w:rPr>
            </w:r>
          </w:p>
        </w:tc>
      </w:tr>
      <w:tr>
        <w:tc>
          <w:tcPr>
            <w:tcW w:w="2665" w:type="dxa"/>
            <w:tcBorders>
              <w:top w:val="nil"/>
              <w:left w:val="nil"/>
              <w:bottom w:val="nil"/>
              <w:right w:val="nil"/>
            </w:tcBorders>
          </w:tcPr>
          <w:p>
            <w:pPr>
              <w:pStyle w:val="0"/>
              <w:jc w:val="center"/>
            </w:pPr>
            <w:r>
              <w:rPr>
                <w:sz w:val="20"/>
              </w:rPr>
              <w:t xml:space="preserve">(дата)</w:t>
            </w:r>
          </w:p>
        </w:tc>
        <w:tc>
          <w:tcPr>
            <w:tcW w:w="397" w:type="dxa"/>
            <w:tcBorders>
              <w:top w:val="nil"/>
              <w:left w:val="nil"/>
              <w:bottom w:val="nil"/>
              <w:right w:val="nil"/>
            </w:tcBorders>
          </w:tcPr>
          <w:p>
            <w:pPr>
              <w:pStyle w:val="0"/>
            </w:pPr>
            <w:r>
              <w:rPr>
                <w:sz w:val="20"/>
              </w:rPr>
            </w:r>
          </w:p>
        </w:tc>
        <w:tc>
          <w:tcPr>
            <w:tcW w:w="2268" w:type="dxa"/>
            <w:tcBorders>
              <w:top w:val="single" w:sz="4"/>
              <w:left w:val="nil"/>
              <w:bottom w:val="nil"/>
              <w:right w:val="nil"/>
            </w:tcBorders>
          </w:tcPr>
          <w:p>
            <w:pPr>
              <w:pStyle w:val="0"/>
              <w:jc w:val="center"/>
            </w:pPr>
            <w:r>
              <w:rPr>
                <w:sz w:val="20"/>
              </w:rPr>
              <w:t xml:space="preserve">(подпись)</w:t>
            </w:r>
          </w:p>
        </w:tc>
        <w:tc>
          <w:tcPr>
            <w:tcW w:w="425"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(расшифровка подписи, должность)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both"/>
      </w:pPr>
      <w:r>
        <w:rPr>
          <w:sz w:val="20"/>
        </w:rPr>
      </w:r>
    </w:p>
    <w:tbl>
      <w:tblPr>
        <w:tblInd w:w="0" w:type="dxa"/>
        <w:tblLayout w:type="fixed"/>
        <w:tblCellMar>
          <w:top w:w="102" w:type="dxa"/>
          <w:left w:w="62" w:type="dxa"/>
          <w:bottom w:w="102" w:type="dxa"/>
          <w:right w:w="62" w:type="dxa"/>
        </w:tblCellMar>
      </w:tblPr>
      <w:tblGrid>
        <w:gridCol w:w="1077"/>
        <w:gridCol w:w="381"/>
        <w:gridCol w:w="1469"/>
        <w:gridCol w:w="6102"/>
      </w:tblGrid>
      <w:tr>
        <w:tc>
          <w:tcPr>
            <w:gridSpan w:val="4"/>
            <w:tcW w:w="9029" w:type="dxa"/>
            <w:vAlign w:val="bottom"/>
            <w:tcBorders>
              <w:top w:val="nil"/>
              <w:left w:val="nil"/>
              <w:bottom w:val="nil"/>
              <w:right w:val="nil"/>
            </w:tcBorders>
          </w:tcPr>
          <w:bookmarkStart w:id="292" w:name="P292"/>
          <w:bookmarkEnd w:id="292"/>
          <w:p>
            <w:pPr>
              <w:pStyle w:val="0"/>
              <w:jc w:val="center"/>
            </w:pPr>
            <w:r>
              <w:rPr>
                <w:sz w:val="20"/>
              </w:rPr>
              <w:t xml:space="preserve">Информация</w:t>
            </w:r>
          </w:p>
          <w:p>
            <w:pPr>
              <w:pStyle w:val="0"/>
              <w:jc w:val="center"/>
            </w:pPr>
            <w:r>
              <w:rPr>
                <w:sz w:val="20"/>
              </w:rPr>
              <w:t xml:space="preserve">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tc>
          <w:tcPr>
            <w:gridSpan w:val="4"/>
            <w:tcW w:w="9029" w:type="dxa"/>
            <w:tcBorders>
              <w:top w:val="nil"/>
              <w:left w:val="nil"/>
              <w:bottom w:val="nil"/>
              <w:right w:val="nil"/>
            </w:tcBorders>
          </w:tcPr>
          <w:p>
            <w:pPr>
              <w:pStyle w:val="0"/>
            </w:pPr>
            <w:r>
              <w:rPr>
                <w:sz w:val="20"/>
              </w:rPr>
            </w:r>
          </w:p>
        </w:tc>
      </w:tr>
      <w:tr>
        <w:tc>
          <w:tcPr>
            <w:gridSpan w:val="4"/>
            <w:tcW w:w="9029" w:type="dxa"/>
            <w:tcBorders>
              <w:top w:val="nil"/>
              <w:left w:val="nil"/>
              <w:bottom w:val="nil"/>
              <w:right w:val="nil"/>
            </w:tcBorders>
          </w:tcPr>
          <w:p>
            <w:pPr>
              <w:pStyle w:val="0"/>
              <w:ind w:firstLine="283"/>
              <w:jc w:val="both"/>
            </w:pPr>
            <w:r>
              <w:rPr>
                <w:sz w:val="20"/>
              </w:rPr>
              <w:t xml:space="preserve">Сведения о доходах, расходах, об имуществе и обязательствах имущественного характера не представляются в отношении супруги/супруга (нужное подчеркнуть):</w:t>
            </w:r>
          </w:p>
        </w:tc>
      </w:tr>
      <w:tr>
        <w:tc>
          <w:tcPr>
            <w:gridSpan w:val="4"/>
            <w:tcW w:w="9029" w:type="dxa"/>
            <w:tcBorders>
              <w:top w:val="nil"/>
              <w:left w:val="nil"/>
              <w:bottom w:val="single" w:sz="4"/>
              <w:right w:val="nil"/>
            </w:tcBorders>
          </w:tcPr>
          <w:p>
            <w:pPr>
              <w:pStyle w:val="0"/>
            </w:pPr>
            <w:r>
              <w:rPr>
                <w:sz w:val="20"/>
              </w:rPr>
            </w:r>
          </w:p>
        </w:tc>
      </w:tr>
      <w:tr>
        <w:tc>
          <w:tcPr>
            <w:gridSpan w:val="4"/>
            <w:tcW w:w="9029" w:type="dxa"/>
            <w:tcBorders>
              <w:top w:val="single" w:sz="4"/>
              <w:left w:val="nil"/>
              <w:bottom w:val="nil"/>
              <w:right w:val="nil"/>
            </w:tcBorders>
          </w:tcPr>
          <w:p>
            <w:pPr>
              <w:pStyle w:val="0"/>
              <w:jc w:val="center"/>
            </w:pPr>
            <w:r>
              <w:rPr>
                <w:sz w:val="20"/>
              </w:rPr>
              <w:t xml:space="preserve">(фамилия, имя отчество (при наличии) супруги/супруга в именительном падеже)</w:t>
            </w:r>
          </w:p>
        </w:tc>
      </w:tr>
      <w:tr>
        <w:tc>
          <w:tcPr>
            <w:gridSpan w:val="3"/>
            <w:tcW w:w="2927" w:type="dxa"/>
            <w:tcBorders>
              <w:top w:val="nil"/>
              <w:left w:val="nil"/>
              <w:bottom w:val="nil"/>
              <w:right w:val="nil"/>
            </w:tcBorders>
          </w:tcPr>
          <w:p>
            <w:pPr>
              <w:pStyle w:val="0"/>
              <w:jc w:val="both"/>
            </w:pPr>
            <w:r>
              <w:rPr>
                <w:sz w:val="20"/>
              </w:rPr>
              <w:t xml:space="preserve">"__" ___________ ____ г.р.</w:t>
            </w:r>
          </w:p>
          <w:p>
            <w:pPr>
              <w:pStyle w:val="0"/>
              <w:jc w:val="center"/>
            </w:pPr>
            <w:r>
              <w:rPr>
                <w:sz w:val="20"/>
              </w:rPr>
              <w:t xml:space="preserve">(дата рождения)</w:t>
            </w:r>
          </w:p>
        </w:tc>
        <w:tc>
          <w:tcPr>
            <w:tcW w:w="6102" w:type="dxa"/>
            <w:tcBorders>
              <w:top w:val="nil"/>
              <w:left w:val="nil"/>
              <w:bottom w:val="nil"/>
              <w:right w:val="nil"/>
            </w:tcBorders>
          </w:tcPr>
          <w:p>
            <w:pPr>
              <w:pStyle w:val="0"/>
            </w:pPr>
            <w:r>
              <w:rPr>
                <w:sz w:val="20"/>
              </w:rPr>
            </w:r>
          </w:p>
        </w:tc>
      </w:tr>
      <w:tr>
        <w:tc>
          <w:tcPr>
            <w:gridSpan w:val="4"/>
            <w:tcW w:w="9029" w:type="dxa"/>
            <w:tcBorders>
              <w:top w:val="nil"/>
              <w:left w:val="nil"/>
              <w:bottom w:val="nil"/>
              <w:right w:val="nil"/>
            </w:tcBorders>
          </w:tcPr>
          <w:p>
            <w:pPr>
              <w:pStyle w:val="0"/>
            </w:pPr>
            <w:r>
              <w:rPr>
                <w:sz w:val="20"/>
              </w:rPr>
              <w:t xml:space="preserve">Поскольку супруга/супруг (нужное подчеркнуть):</w:t>
            </w:r>
          </w:p>
        </w:tc>
      </w:tr>
      <w:tr>
        <w:tc>
          <w:tcPr>
            <w:gridSpan w:val="4"/>
            <w:tcW w:w="9029" w:type="dxa"/>
            <w:tcBorders>
              <w:top w:val="nil"/>
              <w:left w:val="nil"/>
              <w:bottom w:val="nil"/>
              <w:right w:val="nil"/>
            </w:tcBorders>
          </w:tcPr>
          <w:p>
            <w:pPr>
              <w:pStyle w:val="0"/>
            </w:pPr>
            <w:r>
              <w:rPr>
                <w:sz w:val="20"/>
              </w:rPr>
            </w:r>
          </w:p>
        </w:tc>
      </w:tr>
      <w:tr>
        <w:tc>
          <w:tcPr>
            <w:tcW w:w="1077" w:type="dxa"/>
            <w:vAlign w:val="center"/>
            <w:tcBorders>
              <w:top w:val="nil"/>
              <w:left w:val="nil"/>
              <w:bottom w:val="nil"/>
              <w:right w:val="nil"/>
            </w:tcBorders>
            <w:vMerge w:val="restart"/>
          </w:tcPr>
          <w:p>
            <w:pPr>
              <w:pStyle w:val="0"/>
              <w:jc w:val="center"/>
            </w:pPr>
            <w:r>
              <w:rPr>
                <w:sz w:val="20"/>
              </w:rPr>
              <w:t xml:space="preserve">(нужное выделить)</w:t>
            </w: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single" w:sz="4"/>
              <w:right w:val="nil"/>
            </w:tcBorders>
          </w:tcPr>
          <w:p>
            <w:pPr>
              <w:pStyle w:val="0"/>
            </w:pPr>
            <w:r>
              <w:rPr>
                <w:sz w:val="20"/>
              </w:rPr>
            </w:r>
          </w:p>
        </w:tc>
        <w:tc>
          <w:tcPr>
            <w:gridSpan w:val="2"/>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single" w:sz="4"/>
              <w:right w:val="nil"/>
            </w:tcBorders>
          </w:tcPr>
          <w:p>
            <w:pPr>
              <w:pStyle w:val="0"/>
            </w:pPr>
            <w:r>
              <w:rPr>
                <w:sz w:val="20"/>
              </w:rPr>
            </w:r>
          </w:p>
        </w:tc>
        <w:tc>
          <w:tcPr>
            <w:gridSpan w:val="2"/>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призван(-а) на военную службу по мобилизации в Вооруженные Силы Российской Федерации;</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single" w:sz="4"/>
              <w:right w:val="nil"/>
            </w:tcBorders>
          </w:tcPr>
          <w:p>
            <w:pPr>
              <w:pStyle w:val="0"/>
            </w:pPr>
            <w:r>
              <w:rPr>
                <w:sz w:val="20"/>
              </w:rPr>
            </w:r>
          </w:p>
        </w:tc>
        <w:tc>
          <w:tcPr>
            <w:gridSpan w:val="2"/>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nil"/>
              <w:right w:val="nil"/>
            </w:tcBorders>
          </w:tcPr>
          <w:p>
            <w:pPr>
              <w:pStyle w:val="0"/>
            </w:pPr>
            <w:r>
              <w:rPr>
                <w:sz w:val="20"/>
              </w:rPr>
            </w:r>
          </w:p>
        </w:tc>
        <w:tc>
          <w:tcPr>
            <w:gridSpan w:val="2"/>
            <w:tcBorders>
              <w:top w:val="nil"/>
              <w:left w:val="nil"/>
              <w:bottom w:val="nil"/>
              <w:right w:val="nil"/>
            </w:tcBorders>
            <w:vMerge w:val="continue"/>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5669"/>
      </w:tblGrid>
      <w:tr>
        <w:tc>
          <w:tcPr>
            <w:tcW w:w="3345" w:type="dxa"/>
            <w:vAlign w:val="bottom"/>
            <w:tcBorders>
              <w:top w:val="nil"/>
              <w:left w:val="nil"/>
              <w:bottom w:val="nil"/>
              <w:right w:val="nil"/>
            </w:tcBorders>
          </w:tcPr>
          <w:p>
            <w:pPr>
              <w:pStyle w:val="0"/>
              <w:jc w:val="both"/>
            </w:pPr>
            <w:r>
              <w:rPr>
                <w:sz w:val="20"/>
              </w:rPr>
              <w:t xml:space="preserve">Приложение (при наличии):</w:t>
            </w:r>
          </w:p>
        </w:tc>
        <w:tc>
          <w:tcPr>
            <w:tcW w:w="5669"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r>
          </w:p>
        </w:tc>
        <w:tc>
          <w:tcPr>
            <w:tcW w:w="5669" w:type="dxa"/>
            <w:tcBorders>
              <w:top w:val="single" w:sz="4"/>
              <w:left w:val="nil"/>
              <w:bottom w:val="nil"/>
              <w:right w:val="nil"/>
            </w:tcBorders>
          </w:tcPr>
          <w:p>
            <w:pPr>
              <w:pStyle w:val="0"/>
              <w:jc w:val="center"/>
            </w:pPr>
            <w:r>
              <w:rPr>
                <w:sz w:val="20"/>
              </w:rPr>
              <w:t xml:space="preserve">(документы (копии), подтверждающие статус супруги (супруга))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778"/>
        <w:gridCol w:w="340"/>
        <w:gridCol w:w="2268"/>
        <w:gridCol w:w="340"/>
        <w:gridCol w:w="3288"/>
      </w:tblGrid>
      <w:tr>
        <w:tc>
          <w:tcPr>
            <w:tcW w:w="2778" w:type="dxa"/>
            <w:vAlign w:val="bottom"/>
            <w:tcBorders>
              <w:top w:val="nil"/>
              <w:left w:val="nil"/>
              <w:bottom w:val="nil"/>
              <w:right w:val="nil"/>
            </w:tcBorders>
          </w:tcPr>
          <w:p>
            <w:pPr>
              <w:pStyle w:val="0"/>
              <w:jc w:val="both"/>
            </w:pPr>
            <w:r>
              <w:rPr>
                <w:sz w:val="20"/>
              </w:rPr>
              <w:t xml:space="preserve">"__" ___________ ____ г.</w:t>
            </w:r>
          </w:p>
        </w:tc>
        <w:tc>
          <w:tcPr>
            <w:tcW w:w="340" w:type="dxa"/>
            <w:tcBorders>
              <w:top w:val="nil"/>
              <w:left w:val="nil"/>
              <w:bottom w:val="nil"/>
              <w:right w:val="nil"/>
            </w:tcBorders>
          </w:tcPr>
          <w:p>
            <w:pPr>
              <w:pStyle w:val="0"/>
            </w:pPr>
            <w:r>
              <w:rPr>
                <w:sz w:val="20"/>
              </w:rPr>
            </w:r>
          </w:p>
        </w:tc>
        <w:tc>
          <w:tcPr>
            <w:tcW w:w="226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288" w:type="dxa"/>
            <w:tcBorders>
              <w:top w:val="nil"/>
              <w:left w:val="nil"/>
              <w:bottom w:val="single" w:sz="4"/>
              <w:right w:val="nil"/>
            </w:tcBorders>
          </w:tcPr>
          <w:p>
            <w:pPr>
              <w:pStyle w:val="0"/>
            </w:pPr>
            <w:r>
              <w:rPr>
                <w:sz w:val="20"/>
              </w:rPr>
            </w:r>
          </w:p>
        </w:tc>
      </w:tr>
      <w:tr>
        <w:tc>
          <w:tcPr>
            <w:tcW w:w="2778" w:type="dxa"/>
            <w:tcBorders>
              <w:top w:val="nil"/>
              <w:left w:val="nil"/>
              <w:bottom w:val="nil"/>
              <w:right w:val="nil"/>
            </w:tcBorders>
          </w:tcPr>
          <w:p>
            <w:pPr>
              <w:pStyle w:val="0"/>
              <w:jc w:val="center"/>
            </w:pPr>
            <w:r>
              <w:rPr>
                <w:sz w:val="20"/>
              </w:rPr>
              <w:t xml:space="preserve">(дата)</w:t>
            </w:r>
          </w:p>
        </w:tc>
        <w:tc>
          <w:tcPr>
            <w:tcW w:w="340" w:type="dxa"/>
            <w:tcBorders>
              <w:top w:val="nil"/>
              <w:left w:val="nil"/>
              <w:bottom w:val="nil"/>
              <w:right w:val="nil"/>
            </w:tcBorders>
          </w:tcPr>
          <w:p>
            <w:pPr>
              <w:pStyle w:val="0"/>
            </w:pPr>
            <w:r>
              <w:rPr>
                <w:sz w:val="20"/>
              </w:rPr>
            </w:r>
          </w:p>
        </w:tc>
        <w:tc>
          <w:tcPr>
            <w:tcW w:w="226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(расшифровка подписи, должность)</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Минтруда России от 21.03.2023 N 28-6/10/П-2161</w:t>
            <w:br/>
            <w:t>&lt;О направлении Инструктивно-методических материалов&gt;</w:t>
            <w:br/>
            <w:t>(вместе 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90138&amp;dst=100269" TargetMode = "External"/>
	<Relationship Id="rId8" Type="http://schemas.openxmlformats.org/officeDocument/2006/relationships/hyperlink" Target="https://login.consultant.ru/link/?req=doc&amp;base=RZB&amp;n=490138&amp;dst=100235" TargetMode = "External"/>
	<Relationship Id="rId9" Type="http://schemas.openxmlformats.org/officeDocument/2006/relationships/hyperlink" Target="https://login.consultant.ru/link/?req=doc&amp;base=RZB&amp;n=436144" TargetMode = "External"/>
	<Relationship Id="rId10" Type="http://schemas.openxmlformats.org/officeDocument/2006/relationships/hyperlink" Target="https://login.consultant.ru/link/?req=doc&amp;base=RZB&amp;n=436473" TargetMode = "External"/>
	<Relationship Id="rId11" Type="http://schemas.openxmlformats.org/officeDocument/2006/relationships/hyperlink" Target="https://mintrud.gov.ru/ministry/programms/anticorruption/9/5" TargetMode = "External"/>
	<Relationship Id="rId12" Type="http://schemas.openxmlformats.org/officeDocument/2006/relationships/hyperlink" Target="https://login.consultant.ru/link/?req=doc&amp;base=RZB&amp;n=436144&amp;dst=100009" TargetMode = "External"/>
	<Relationship Id="rId13" Type="http://schemas.openxmlformats.org/officeDocument/2006/relationships/hyperlink" Target="https://login.consultant.ru/link/?req=doc&amp;base=RZB&amp;n=436144" TargetMode = "External"/>
	<Relationship Id="rId14" Type="http://schemas.openxmlformats.org/officeDocument/2006/relationships/hyperlink" Target="https://login.consultant.ru/link/?req=doc&amp;base=RZB&amp;n=436144" TargetMode = "External"/>
	<Relationship Id="rId15" Type="http://schemas.openxmlformats.org/officeDocument/2006/relationships/hyperlink" Target="https://login.consultant.ru/link/?req=doc&amp;base=RZB&amp;n=436144&amp;dst=100007" TargetMode = "External"/>
	<Relationship Id="rId16" Type="http://schemas.openxmlformats.org/officeDocument/2006/relationships/hyperlink" Target="https://login.consultant.ru/link/?req=doc&amp;base=RZB&amp;n=436144" TargetMode = "External"/>
	<Relationship Id="rId17" Type="http://schemas.openxmlformats.org/officeDocument/2006/relationships/hyperlink" Target="https://login.consultant.ru/link/?req=doc&amp;base=RZB&amp;n=436144" TargetMode = "External"/>
	<Relationship Id="rId18" Type="http://schemas.openxmlformats.org/officeDocument/2006/relationships/hyperlink" Target="https://login.consultant.ru/link/?req=doc&amp;base=RZB&amp;n=436144" TargetMode = "External"/>
	<Relationship Id="rId19" Type="http://schemas.openxmlformats.org/officeDocument/2006/relationships/hyperlink" Target="https://login.consultant.ru/link/?req=doc&amp;base=RZB&amp;n=436144" TargetMode = "External"/>
	<Relationship Id="rId20" Type="http://schemas.openxmlformats.org/officeDocument/2006/relationships/hyperlink" Target="https://login.consultant.ru/link/?req=doc&amp;base=RZB&amp;n=436144" TargetMode = "External"/>
	<Relationship Id="rId21" Type="http://schemas.openxmlformats.org/officeDocument/2006/relationships/hyperlink" Target="https://login.consultant.ru/link/?req=doc&amp;base=RZB&amp;n=436144" TargetMode = "External"/>
	<Relationship Id="rId22" Type="http://schemas.openxmlformats.org/officeDocument/2006/relationships/hyperlink" Target="https://login.consultant.ru/link/?req=doc&amp;base=RZB&amp;n=436144" TargetMode = "External"/>
	<Relationship Id="rId23" Type="http://schemas.openxmlformats.org/officeDocument/2006/relationships/hyperlink" Target="https://login.consultant.ru/link/?req=doc&amp;base=RZB&amp;n=436144" TargetMode = "External"/>
	<Relationship Id="rId24" Type="http://schemas.openxmlformats.org/officeDocument/2006/relationships/hyperlink" Target="https://login.consultant.ru/link/?req=doc&amp;base=RZB&amp;n=436144" TargetMode = "External"/>
	<Relationship Id="rId25" Type="http://schemas.openxmlformats.org/officeDocument/2006/relationships/hyperlink" Target="https://login.consultant.ru/link/?req=doc&amp;base=RZB&amp;n=436144" TargetMode = "External"/>
	<Relationship Id="rId26" Type="http://schemas.openxmlformats.org/officeDocument/2006/relationships/hyperlink" Target="https://login.consultant.ru/link/?req=doc&amp;base=RZB&amp;n=436144" TargetMode = "External"/>
	<Relationship Id="rId27" Type="http://schemas.openxmlformats.org/officeDocument/2006/relationships/hyperlink" Target="https://login.consultant.ru/link/?req=doc&amp;base=RZB&amp;n=436144" TargetMode = "External"/>
	<Relationship Id="rId28" Type="http://schemas.openxmlformats.org/officeDocument/2006/relationships/hyperlink" Target="https://login.consultant.ru/link/?req=doc&amp;base=RZB&amp;n=436144" TargetMode = "External"/>
	<Relationship Id="rId29" Type="http://schemas.openxmlformats.org/officeDocument/2006/relationships/hyperlink" Target="https://login.consultant.ru/link/?req=doc&amp;base=RZB&amp;n=436144&amp;dst=100014" TargetMode = "External"/>
	<Relationship Id="rId30" Type="http://schemas.openxmlformats.org/officeDocument/2006/relationships/hyperlink" Target="https://login.consultant.ru/link/?req=doc&amp;base=RZB&amp;n=436144" TargetMode = "External"/>
	<Relationship Id="rId31" Type="http://schemas.openxmlformats.org/officeDocument/2006/relationships/hyperlink" Target="https://login.consultant.ru/link/?req=doc&amp;base=RZB&amp;n=436144" TargetMode = "External"/>
	<Relationship Id="rId32" Type="http://schemas.openxmlformats.org/officeDocument/2006/relationships/hyperlink" Target="https://login.consultant.ru/link/?req=doc&amp;base=RZB&amp;n=436144" TargetMode = "External"/>
	<Relationship Id="rId33" Type="http://schemas.openxmlformats.org/officeDocument/2006/relationships/hyperlink" Target="https://login.consultant.ru/link/?req=doc&amp;base=RZB&amp;n=436144" TargetMode = "External"/>
	<Relationship Id="rId34" Type="http://schemas.openxmlformats.org/officeDocument/2006/relationships/hyperlink" Target="https://login.consultant.ru/link/?req=doc&amp;base=RZB&amp;n=436144" TargetMode = "External"/>
	<Relationship Id="rId35" Type="http://schemas.openxmlformats.org/officeDocument/2006/relationships/hyperlink" Target="https://login.consultant.ru/link/?req=doc&amp;base=RZB&amp;n=436144&amp;dst=100008" TargetMode = "External"/>
	<Relationship Id="rId36" Type="http://schemas.openxmlformats.org/officeDocument/2006/relationships/hyperlink" Target="https://login.consultant.ru/link/?req=doc&amp;base=RZB&amp;n=442435" TargetMode = "External"/>
	<Relationship Id="rId37" Type="http://schemas.openxmlformats.org/officeDocument/2006/relationships/hyperlink" Target="https://login.consultant.ru/link/?req=doc&amp;base=RZB&amp;n=436144" TargetMode = "External"/>
	<Relationship Id="rId38" Type="http://schemas.openxmlformats.org/officeDocument/2006/relationships/hyperlink" Target="https://login.consultant.ru/link/?req=doc&amp;base=RZB&amp;n=436144&amp;dst=100015" TargetMode = "External"/>
	<Relationship Id="rId39" Type="http://schemas.openxmlformats.org/officeDocument/2006/relationships/hyperlink" Target="https://login.consultant.ru/link/?req=doc&amp;base=RZB&amp;n=436144&amp;dst=100015" TargetMode = "External"/>
	<Relationship Id="rId40" Type="http://schemas.openxmlformats.org/officeDocument/2006/relationships/hyperlink" Target="https://login.consultant.ru/link/?req=doc&amp;base=RZB&amp;n=436144" TargetMode = "External"/>
	<Relationship Id="rId41" Type="http://schemas.openxmlformats.org/officeDocument/2006/relationships/hyperlink" Target="https://login.consultant.ru/link/?req=doc&amp;base=RZB&amp;n=436144&amp;dst=100015" TargetMode = "External"/>
	<Relationship Id="rId42" Type="http://schemas.openxmlformats.org/officeDocument/2006/relationships/hyperlink" Target="https://login.consultant.ru/link/?req=doc&amp;base=RZB&amp;n=436144&amp;dst=100015" TargetMode = "External"/>
	<Relationship Id="rId43" Type="http://schemas.openxmlformats.org/officeDocument/2006/relationships/hyperlink" Target="https://login.consultant.ru/link/?req=doc&amp;base=RZB&amp;n=436144" TargetMode = "External"/>
	<Relationship Id="rId44" Type="http://schemas.openxmlformats.org/officeDocument/2006/relationships/hyperlink" Target="https://login.consultant.ru/link/?req=doc&amp;base=RZB&amp;n=436144&amp;dst=100012" TargetMode = "External"/>
	<Relationship Id="rId45" Type="http://schemas.openxmlformats.org/officeDocument/2006/relationships/hyperlink" Target="https://login.consultant.ru/link/?req=doc&amp;base=RZB&amp;n=436144" TargetMode = "External"/>
	<Relationship Id="rId46" Type="http://schemas.openxmlformats.org/officeDocument/2006/relationships/hyperlink" Target="https://login.consultant.ru/link/?req=doc&amp;base=RZB&amp;n=436144" TargetMode = "External"/>
	<Relationship Id="rId47" Type="http://schemas.openxmlformats.org/officeDocument/2006/relationships/hyperlink" Target="https://login.consultant.ru/link/?req=doc&amp;base=RZB&amp;n=436144&amp;dst=100013" TargetMode = "External"/>
	<Relationship Id="rId48" Type="http://schemas.openxmlformats.org/officeDocument/2006/relationships/hyperlink" Target="https://login.consultant.ru/link/?req=doc&amp;base=RZB&amp;n=436144&amp;dst=100020" TargetMode = "External"/>
	<Relationship Id="rId49" Type="http://schemas.openxmlformats.org/officeDocument/2006/relationships/hyperlink" Target="https://login.consultant.ru/link/?req=doc&amp;base=RZB&amp;n=436144" TargetMode = "External"/>
	<Relationship Id="rId50" Type="http://schemas.openxmlformats.org/officeDocument/2006/relationships/hyperlink" Target="http://pravo.gov.ru/proxy/ips/?docbody=&amp;link_id=0&amp;nd=603637722" TargetMode = "External"/>
	<Relationship Id="rId51" Type="http://schemas.openxmlformats.org/officeDocument/2006/relationships/hyperlink" Target="https://login.consultant.ru/link/?req=doc&amp;base=RZB&amp;n=436144" TargetMode = "External"/>
	<Relationship Id="rId52" Type="http://schemas.openxmlformats.org/officeDocument/2006/relationships/hyperlink" Target="https://login.consultant.ru/link/?req=doc&amp;base=RZB&amp;n=436144" TargetMode = "External"/>
	<Relationship Id="rId53" Type="http://schemas.openxmlformats.org/officeDocument/2006/relationships/hyperlink" Target="https://login.consultant.ru/link/?req=doc&amp;base=RZB&amp;n=436144" TargetMode = "External"/>
	<Relationship Id="rId54" Type="http://schemas.openxmlformats.org/officeDocument/2006/relationships/hyperlink" Target="https://login.consultant.ru/link/?req=doc&amp;base=RZB&amp;n=433366" TargetMode = "External"/>
	<Relationship Id="rId55" Type="http://schemas.openxmlformats.org/officeDocument/2006/relationships/hyperlink" Target="https://login.consultant.ru/link/?req=doc&amp;base=RZB&amp;n=433366" TargetMode = "External"/>
	<Relationship Id="rId56" Type="http://schemas.openxmlformats.org/officeDocument/2006/relationships/hyperlink" Target="https://login.consultant.ru/link/?req=doc&amp;base=RZB&amp;n=43614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21.03.2023 N 28-6/10/П-2161
&lt;О направлении Инструктивно-методических материалов&gt;
(вместе с "Инструктивно-методическими материалами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dc:title>
  <dcterms:created xsi:type="dcterms:W3CDTF">2025-02-11T07:25:57Z</dcterms:created>
</cp:coreProperties>
</file>